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Líneas de investigación</w:t>
      </w:r>
    </w:p>
    <w:p>
      <w:pPr>
        <w:pStyle w:val="Subtitle"/>
        <w:spacing w:after="520"/>
      </w:pPr>
      <w:r>
        <w:t>Research Lines · Llínees d’Investigació</w:t>
      </w:r>
    </w:p>
    <w:p>
      <w:pPr>
        <w:pStyle w:val="Heading1"/>
      </w:pPr>
      <w:r>
        <w:t>Carlos Vidal-Meliá</w:t>
      </w:r>
    </w:p>
    <w:p>
      <w:pPr>
        <w:pStyle w:val="BodyText"/>
        <w:spacing w:after="480"/>
      </w:pPr>
      <w:r>
        <w:t>Catedrático de Economía Financiera y Actuarial</w:t>
        <w:br/>
      </w:r>
      <w:r>
        <w:t>Universitat de València</w:t>
        <w:br/>
      </w:r>
      <w:r>
        <w:t>Instituto Universitario de Derecho Patrimonial–Patrimonium</w:t>
      </w:r>
    </w:p>
    <w:tbl>
      <w:tblPr>
        <w:tblW w:type="auto" w:w="0"/>
        <w:tblLayout w:type="fixed"/>
        <w:tblLook w:firstColumn="1" w:firstRow="1" w:lastColumn="0" w:lastRow="0" w:noHBand="0" w:noVBand="1" w:val="04A0"/>
      </w:tblPr>
      <w:tblGrid>
        <w:gridCol w:w="2381"/>
        <w:gridCol w:w="6746"/>
      </w:tblGrid>
      <w:tr>
        <w:tc>
          <w:tcPr>
            <w:tcW w:type="dxa" w:w="4677"/>
            <w:shd w:fill="F0EEE6"/>
            <w:vAlign w:val="center"/>
          </w:tcPr>
          <w:p>
            <w:pPr>
              <w:spacing w:after="0"/>
            </w:pPr>
            <w:r>
              <w:rPr>
                <w:rFonts w:ascii="Aptos" w:hAnsi="Aptos"/>
                <w:b/>
                <w:sz w:val="18"/>
              </w:rPr>
              <w:t>Actualización</w:t>
            </w:r>
          </w:p>
        </w:tc>
        <w:tc>
          <w:tcPr>
            <w:tcW w:type="dxa" w:w="4677"/>
            <w:vAlign w:val="center"/>
          </w:tcPr>
          <w:p>
            <w:pPr>
              <w:spacing w:after="0"/>
            </w:pPr>
            <w:r>
              <w:rPr>
                <w:rFonts w:ascii="Aptos" w:hAnsi="Aptos"/>
                <w:sz w:val="18"/>
              </w:rPr>
              <w:t>12 de octubre de 2026</w:t>
            </w:r>
          </w:p>
        </w:tc>
      </w:tr>
      <w:tr>
        <w:tc>
          <w:tcPr>
            <w:tcW w:type="dxa" w:w="4677"/>
            <w:shd w:fill="F0EEE6"/>
            <w:vAlign w:val="center"/>
          </w:tcPr>
          <w:p>
            <w:pPr>
              <w:spacing w:after="0"/>
            </w:pPr>
            <w:r>
              <w:rPr>
                <w:rFonts w:ascii="Aptos" w:hAnsi="Aptos"/>
                <w:b/>
                <w:sz w:val="18"/>
              </w:rPr>
              <w:t>Idiomas</w:t>
            </w:r>
          </w:p>
        </w:tc>
        <w:tc>
          <w:tcPr>
            <w:tcW w:type="dxa" w:w="4677"/>
            <w:vAlign w:val="center"/>
          </w:tcPr>
          <w:p>
            <w:pPr>
              <w:spacing w:after="0"/>
            </w:pPr>
            <w:r>
              <w:rPr>
                <w:rFonts w:ascii="Aptos" w:hAnsi="Aptos"/>
                <w:sz w:val="18"/>
              </w:rPr>
              <w:t>Español · English · Valencià segons les Normes d’El Puig de la RACV</w:t>
            </w:r>
          </w:p>
        </w:tc>
      </w:tr>
      <w:tr>
        <w:tc>
          <w:tcPr>
            <w:tcW w:type="dxa" w:w="4677"/>
            <w:shd w:fill="F0EEE6"/>
            <w:vAlign w:val="center"/>
          </w:tcPr>
          <w:p>
            <w:pPr>
              <w:spacing w:after="0"/>
            </w:pPr>
            <w:r>
              <w:rPr>
                <w:rFonts w:ascii="Aptos" w:hAnsi="Aptos"/>
                <w:b/>
                <w:sz w:val="18"/>
              </w:rPr>
              <w:t>Estructura</w:t>
            </w:r>
          </w:p>
        </w:tc>
        <w:tc>
          <w:tcPr>
            <w:tcW w:type="dxa" w:w="4677"/>
            <w:vAlign w:val="center"/>
          </w:tcPr>
          <w:p>
            <w:pPr>
              <w:spacing w:after="0"/>
            </w:pPr>
            <w:r>
              <w:rPr>
                <w:rFonts w:ascii="Aptos" w:hAnsi="Aptos"/>
                <w:sz w:val="18"/>
              </w:rPr>
              <w:t>Tres líneas en vigor y cuatro líneas históricas</w:t>
            </w:r>
          </w:p>
        </w:tc>
      </w:tr>
    </w:tbl>
    <w:p/>
    <w:p>
      <w:pPr>
        <w:pStyle w:val="BodyText"/>
      </w:pPr>
      <w:r>
        <w:rPr>
          <w:b/>
        </w:rPr>
        <w:t xml:space="preserve">Criterio de actualización. </w:t>
      </w:r>
      <w:r>
        <w:t>La clasificación conserva el esquema del documento de 21 de diciembre de 2025. Se han actualizado los resultados de 2026 y sus estados editoriales sin mezclar las líneas vigentes con las históricas.</w:t>
      </w:r>
    </w:p>
    <w:p>
      <w:r>
        <w:br w:type="page"/>
      </w:r>
    </w:p>
    <w:p>
      <w:pPr>
        <w:pStyle w:val="Heading1"/>
        <w:spacing w:after="80"/>
      </w:pPr>
      <w:r>
        <w:t>ESPAÑOL</w:t>
      </w:r>
    </w:p>
    <w:p>
      <w:pPr>
        <w:pStyle w:val="Subtitle"/>
        <w:spacing w:after="360"/>
      </w:pPr>
      <w:r>
        <w:t>Actualizado a 12 de octubre de 2026</w:t>
      </w:r>
    </w:p>
    <w:p>
      <w:pPr>
        <w:pStyle w:val="Heading1"/>
      </w:pPr>
      <w:r>
        <w:t>LÍNEAS DE INVESTIGACIÓN EN VIGOR</w:t>
      </w:r>
    </w:p>
    <w:p>
      <w:pPr>
        <w:pStyle w:val="Heading2"/>
        <w:keepNext/>
      </w:pPr>
      <w:r>
        <w:t>5. Instrumentos para mejorar el sistema de reparto 2.0: Pensiones mínimas, invalidez y dependencia (desde 2012)</w:t>
      </w:r>
    </w:p>
    <w:p>
      <w:pPr>
        <w:pStyle w:val="BodyText"/>
        <w:spacing w:after="140"/>
      </w:pPr>
      <w:r>
        <w:rPr>
          <w:b/>
        </w:rPr>
        <w:t xml:space="preserve">Breve descripción y objetivos: </w:t>
      </w:r>
      <w:r>
        <w:t>Esta línea expande la metodología del análisis actuarial hacia un enfoque de grupo abierto con devengo e integra riesgos biométricos complejos. Sus objetivos son diseñar sistemas de cuentas nocionales (NDC) que absorban la volatilidad de las contingencias de invalidez y dependencia; desarrollar balances actuariales integrados que revelen el coste real de la redistribución y las pensiones mínimas; y evaluar el impacto de la Industria 4.0 en la sostenibilidad financiera, proponiendo mecanismos de ajuste ante la automatización del mercado laboral.</w:t>
      </w:r>
    </w:p>
    <w:p>
      <w:pPr>
        <w:pStyle w:val="BodyText"/>
        <w:spacing w:after="140"/>
      </w:pPr>
      <w:r>
        <w:rPr>
          <w:b/>
        </w:rPr>
        <w:t xml:space="preserve">Investigadores y participación: </w:t>
      </w:r>
      <w:r>
        <w:t>Manuel Ventura-Marco (11/25), Juan Manuel Pérez-Salamero (6/25), Anne Marie Garvey (6/25), María del Carmen Boado-Penas (5/25), Javier Pla-Porcel (4/25), Ahmed Ación López (4/25), Marta Regúlez Castillo (1/25), Francisco Navarro-Cabo (1/25), Anna Castañer (1/25) y Carlos Vidal-Meliá (25/25).</w:t>
      </w:r>
    </w:p>
    <w:p>
      <w:pPr>
        <w:pStyle w:val="BodyText"/>
        <w:spacing w:after="100"/>
      </w:pPr>
      <w:r>
        <w:rPr>
          <w:b/>
        </w:rPr>
        <w:t>Publicaciones y resultados de investigación:</w:t>
      </w:r>
    </w:p>
    <w:p>
      <w:pPr>
        <w:pStyle w:val="Heading3"/>
        <w:keepNext/>
      </w:pPr>
      <w:r>
        <w:t>Sublínea de invalidez</w:t>
      </w:r>
    </w:p>
    <w:p>
      <w:pPr>
        <w:pStyle w:val="Reference"/>
      </w:pPr>
      <w:r>
        <w:t>Vidal-Meliá, C., &amp; Ación López, A. (2026). High ex post actuarial returns, modest benefits? Disability grade, sex and age at award in Spanish permanent-disability pensions, 2015–2023. Economies. In press.</w:t>
      </w:r>
    </w:p>
    <w:p>
      <w:pPr>
        <w:pStyle w:val="Reference"/>
      </w:pPr>
      <w:r>
        <w:t xml:space="preserve">Garvey, A. M., Ventura-Marco, M., &amp; Vidal-Meliá, C. (2021). Does the pension system’s income statement really matter? A proposal for an NDC scheme with disability and minimum pension benefits. Economic Research–Ekonomska Istraživanja, 34(1), 292–310. </w:t>
      </w:r>
      <w:hyperlink r:id="rId11">
        <w:r>
          <w:rPr>
            <w:color w:val="772D3C"/>
            <w:u w:val="single"/>
          </w:rPr>
          <w:t>https://doi.org/10.1080/1331677X.2020.1782246</w:t>
        </w:r>
      </w:hyperlink>
    </w:p>
    <w:p>
      <w:pPr>
        <w:pStyle w:val="Reference"/>
      </w:pPr>
      <w:r>
        <w:t xml:space="preserve">Pérez-Salamero, J. M., Ventura-Marco, M., &amp; Vidal-Meliá, C. (2017). A ‘Swedish’ actuarial balance for a notional defined contribution pension scheme with disability and minimum pension benefits. International Social Security Review, 70(3), 79–104. </w:t>
      </w:r>
      <w:hyperlink r:id="rId12">
        <w:r>
          <w:rPr>
            <w:color w:val="772D3C"/>
            <w:u w:val="single"/>
          </w:rPr>
          <w:t>https://doi.org/10.1111/issr.12143</w:t>
        </w:r>
      </w:hyperlink>
    </w:p>
    <w:p>
      <w:pPr>
        <w:pStyle w:val="Reference"/>
      </w:pPr>
      <w:r>
        <w:t xml:space="preserve">Ventura-Marco, M., &amp; Vidal-Meliá, C. (2016). Integrating retirement and permanent disability in NDC pension schemes. Applied Economics, 48(12), 1081–1102. </w:t>
      </w:r>
      <w:hyperlink r:id="rId13">
        <w:r>
          <w:rPr>
            <w:color w:val="772D3C"/>
            <w:u w:val="single"/>
          </w:rPr>
          <w:t>https://doi.org/10.1080/00036846.2015.1093084</w:t>
        </w:r>
      </w:hyperlink>
    </w:p>
    <w:p>
      <w:pPr>
        <w:pStyle w:val="Reference"/>
      </w:pPr>
      <w:r>
        <w:t xml:space="preserve">Ventura-Marco, M., &amp; Vidal-Meliá, C. (2014). An actuarial balance sheet model for defined benefit pay-as-you-go pension systems with disability and retirement contingencies. ASTIN Bulletin, 44(2), 367–415. </w:t>
      </w:r>
      <w:hyperlink r:id="rId14">
        <w:r>
          <w:rPr>
            <w:color w:val="772D3C"/>
            <w:u w:val="single"/>
          </w:rPr>
          <w:t>https://doi.org/10.1017/asb.2014.5</w:t>
        </w:r>
      </w:hyperlink>
    </w:p>
    <w:p>
      <w:pPr>
        <w:pStyle w:val="Heading3"/>
        <w:keepNext/>
      </w:pPr>
      <w:r>
        <w:t>Sublínea de dependencia</w:t>
      </w:r>
    </w:p>
    <w:p>
      <w:pPr>
        <w:pStyle w:val="Reference"/>
      </w:pPr>
      <w:r>
        <w:t xml:space="preserve">Vidal-Meliá, C., Ventura-Marco, M., &amp; Garvey, A. (2024). Analyzing the demographic coherence of selected US, Australian and Chinese biometric data sets. Quality &amp; Quantity, 58, 2813–2836. </w:t>
      </w:r>
      <w:hyperlink r:id="rId15">
        <w:r>
          <w:rPr>
            <w:color w:val="772D3C"/>
            <w:u w:val="single"/>
          </w:rPr>
          <w:t>https://doi.org/10.1007/s11135-023-01782-w</w:t>
        </w:r>
      </w:hyperlink>
    </w:p>
    <w:p>
      <w:pPr>
        <w:pStyle w:val="Reference"/>
      </w:pPr>
      <w:r>
        <w:t xml:space="preserve">Ventura-Marco, M., Vidal-Meliá, C., &amp; Pérez-Salamero González, J. M. (2023). Joint life care annuities to help retired couples to finance the cost of long-term care. Insurance: Mathematics and Economics, 113, 122–139. </w:t>
      </w:r>
      <w:hyperlink r:id="rId16">
        <w:r>
          <w:rPr>
            <w:color w:val="772D3C"/>
            <w:u w:val="single"/>
          </w:rPr>
          <w:t>https://doi.org/10.1016/j.insmatheco.2023.08.002</w:t>
        </w:r>
      </w:hyperlink>
    </w:p>
    <w:p>
      <w:pPr>
        <w:pStyle w:val="Reference"/>
      </w:pPr>
      <w:r>
        <w:t xml:space="preserve">Vidal-Meliá, C., Ventura-Marco, M., &amp; Pla-Porcel, J. (2020). An NDC approach to helping pensioners cope with the cost of long-term care. Journal of Pension Economics and Finance, 19(1), 80–108. </w:t>
      </w:r>
      <w:hyperlink r:id="rId17">
        <w:r>
          <w:rPr>
            <w:color w:val="772D3C"/>
            <w:u w:val="single"/>
          </w:rPr>
          <w:t>https://doi.org/10.1017/S1474747218000070</w:t>
        </w:r>
      </w:hyperlink>
    </w:p>
    <w:p>
      <w:pPr>
        <w:pStyle w:val="Reference"/>
      </w:pPr>
      <w:r>
        <w:t xml:space="preserve">Vidal-Meliá, C., Ventura-Marco, M., &amp; Pla-Porcel, J. (2019). Unisex life care annuities embedded in a pay-as-you-go pension system. Journal of Population Ageing, 12(4), 405–426. </w:t>
      </w:r>
      <w:hyperlink r:id="rId18">
        <w:r>
          <w:rPr>
            <w:color w:val="772D3C"/>
            <w:u w:val="single"/>
          </w:rPr>
          <w:t>https://doi.org/10.1007/s12062-018-9229-3</w:t>
        </w:r>
      </w:hyperlink>
    </w:p>
    <w:p>
      <w:pPr>
        <w:pStyle w:val="Reference"/>
      </w:pPr>
      <w:r>
        <w:t xml:space="preserve">Vidal-Meliá, C., Ventura-Marco, M., &amp; Pérez-Salamero, J. M. (2018). Social insurance accounting for a notional defined contribution scheme combining retirement and long-term care benefits. Sustainability, 10(8), 2832. </w:t>
      </w:r>
      <w:hyperlink r:id="rId19">
        <w:r>
          <w:rPr>
            <w:color w:val="772D3C"/>
            <w:u w:val="single"/>
          </w:rPr>
          <w:t>https://doi.org/10.3390/su10082832</w:t>
        </w:r>
      </w:hyperlink>
    </w:p>
    <w:p>
      <w:pPr>
        <w:pStyle w:val="Reference"/>
      </w:pPr>
      <w:r>
        <w:t xml:space="preserve">Pla-Porcel, J., Ventura-Marco, M., &amp; Vidal-Meliá, C. (2017). Converting retirement benefit into a life care annuity with graded benefits. Scandinavian Actuarial Journal, 2017(10), 829–853. </w:t>
      </w:r>
      <w:hyperlink r:id="rId20">
        <w:r>
          <w:rPr>
            <w:color w:val="772D3C"/>
            <w:u w:val="single"/>
          </w:rPr>
          <w:t>https://doi.org/10.1080/03461238.2016.1258370</w:t>
        </w:r>
      </w:hyperlink>
    </w:p>
    <w:p>
      <w:pPr>
        <w:pStyle w:val="Reference"/>
      </w:pPr>
      <w:r>
        <w:t xml:space="preserve">Pla-Porcel, J., Ventura-Marco, M., &amp; Vidal-Meliá, C. (2016). Life care annuities (LCA) embedded in a notional defined contribution (NDC) framework. ASTIN Bulletin, 46(2), 331–363. </w:t>
      </w:r>
      <w:hyperlink r:id="rId21">
        <w:r>
          <w:rPr>
            <w:color w:val="772D3C"/>
            <w:u w:val="single"/>
          </w:rPr>
          <w:t>https://doi.org/10.1017/asb.2015.27</w:t>
        </w:r>
      </w:hyperlink>
    </w:p>
    <w:p>
      <w:pPr>
        <w:pStyle w:val="Heading3"/>
        <w:keepNext/>
      </w:pPr>
      <w:r>
        <w:t>Sublínea de cuentas nocionales y balances actuariales</w:t>
      </w:r>
    </w:p>
    <w:p>
      <w:pPr>
        <w:pStyle w:val="Reference"/>
      </w:pPr>
      <w:r>
        <w:t xml:space="preserve">Ación López, A., &amp; Vidal-Meliá, C. (2026a). Delayed-retirement incentives in Spain: Evaluating lump-sum commutation and actuarial fairness (Estudios sobre la Economía Española, 2026/25). Fundación de Estudios de Economía Aplicada. </w:t>
      </w:r>
      <w:hyperlink r:id="rId22">
        <w:r>
          <w:rPr>
            <w:color w:val="772D3C"/>
            <w:u w:val="single"/>
          </w:rPr>
          <w:t>https://documentos.fedea.net/pubs/eee/2026/eee2026-25.pdf</w:t>
        </w:r>
      </w:hyperlink>
    </w:p>
    <w:p>
      <w:pPr>
        <w:pStyle w:val="Reference"/>
      </w:pPr>
      <w:r>
        <w:t xml:space="preserve">Ación López, A., &amp; Vidal-Meliá, C. (2026b). NDC benchmarking of Spanish pensions: Disability, survivor reversibility and hidden redistribution (Estudios sobre la Economía Española, 2026/29). Fundación de Estudios de Economía Aplicada. </w:t>
      </w:r>
      <w:hyperlink r:id="rId23">
        <w:r>
          <w:rPr>
            <w:color w:val="772D3C"/>
            <w:u w:val="single"/>
          </w:rPr>
          <w:t>https://documentos.fedea.net/pubs/eee/2026/eee2026-29.pdf</w:t>
        </w:r>
      </w:hyperlink>
    </w:p>
    <w:p>
      <w:pPr>
        <w:pStyle w:val="Reference"/>
      </w:pPr>
      <w:r>
        <w:t xml:space="preserve">Castañer, A., Garvey, A. M., Pérez-Salamero González, J. M., &amp; Vidal-Meliá, C. (2025). Transforming Eurostat’s Table 29 into an actuarial balance sheet. Journal of Risk and Financial Management, 18(9), 528. </w:t>
      </w:r>
      <w:hyperlink r:id="rId24">
        <w:r>
          <w:rPr>
            <w:color w:val="772D3C"/>
            <w:u w:val="single"/>
          </w:rPr>
          <w:t>https://doi.org/10.3390/jrfm18090528</w:t>
        </w:r>
      </w:hyperlink>
    </w:p>
    <w:p>
      <w:pPr>
        <w:pStyle w:val="Reference"/>
      </w:pPr>
      <w:r>
        <w:t xml:space="preserve">Garvey, A., Pérez-Salamero González, J. M., Ventura-Marco, M., &amp; Vidal-Meliá, C. (2023). Transforming the supplementary table on pension liabilities (Table 29) into an actuarial balance sheet. Public Money &amp; Management, 43(8), 782–793. </w:t>
      </w:r>
      <w:hyperlink r:id="rId25">
        <w:r>
          <w:rPr>
            <w:color w:val="772D3C"/>
            <w:u w:val="single"/>
          </w:rPr>
          <w:t>https://doi.org/10.1080/09540962.2022.2144362</w:t>
        </w:r>
      </w:hyperlink>
    </w:p>
    <w:p>
      <w:pPr>
        <w:pStyle w:val="Reference"/>
      </w:pPr>
      <w:r>
        <w:t xml:space="preserve">Garvey, A. M., Pérez-Salamero González, J. M., Ventura-Marco, M., &amp; Vidal-Meliá, C. (2022). Improving decision-making information: ‘Table 29’ to an actuarial balance sheet. In M. Corazza, C. Perna, C. Pizzi, &amp; M. Sibillo (Eds.), Mathematical and statistical methods for actuarial sciences and finance (pp. 477–484). Springer. </w:t>
      </w:r>
      <w:hyperlink r:id="rId26">
        <w:r>
          <w:rPr>
            <w:color w:val="772D3C"/>
            <w:u w:val="single"/>
          </w:rPr>
          <w:t>https://doi.org/10.1007/978-3-030-99638-3_46</w:t>
        </w:r>
      </w:hyperlink>
    </w:p>
    <w:p>
      <w:pPr>
        <w:pStyle w:val="Reference"/>
      </w:pPr>
      <w:r>
        <w:t xml:space="preserve">Garvey, A. M., Ventura-Marco, M., &amp; Vidal-Meliá, C. (2021). The importance of reporting a pension system’s income statement and budgeted variances in a fair and sustainable scheme. In M. Corazza, M. Gilli, C. Perna, C. Pizzi, &amp; M. Sibillo (Eds.), Mathematical and statistical methods for actuarial sciences and finance (pp. 275–282). Springer. </w:t>
      </w:r>
      <w:hyperlink r:id="rId27">
        <w:r>
          <w:rPr>
            <w:color w:val="772D3C"/>
            <w:u w:val="single"/>
          </w:rPr>
          <w:t>https://doi.org/10.1007/978-3-030-78965-7_34</w:t>
        </w:r>
      </w:hyperlink>
    </w:p>
    <w:p>
      <w:pPr>
        <w:pStyle w:val="Reference"/>
      </w:pPr>
      <w:r>
        <w:t xml:space="preserve">Vidal-Meliá, C., Boado-Penas, M. del C., &amp; Navarro-Cabo, F. (2016). Notional defined contribution pension schemes: Why does only Sweden distribute the survivor dividend? Journal of Economic Policy Reform, 19(3), 200–220. </w:t>
      </w:r>
      <w:hyperlink r:id="rId28">
        <w:r>
          <w:rPr>
            <w:color w:val="772D3C"/>
            <w:u w:val="single"/>
          </w:rPr>
          <w:t>https://doi.org/10.1080/17487870.2015.1028547</w:t>
        </w:r>
      </w:hyperlink>
    </w:p>
    <w:p>
      <w:pPr>
        <w:pStyle w:val="Reference"/>
      </w:pPr>
      <w:r>
        <w:t xml:space="preserve">Boado-Penas, M. del C., &amp; Vidal-Meliá, C. (2014). Nonfinancial defined contribution pension schemes: Is a survivor dividend necessary to make the system balanced? Applied Economics Letters, 21(4), 242–247. </w:t>
      </w:r>
      <w:hyperlink r:id="rId29">
        <w:r>
          <w:rPr>
            <w:color w:val="772D3C"/>
            <w:u w:val="single"/>
          </w:rPr>
          <w:t>https://doi.org/10.1080/13504851.2013.851767</w:t>
        </w:r>
      </w:hyperlink>
    </w:p>
    <w:p>
      <w:pPr>
        <w:pStyle w:val="Reference"/>
      </w:pPr>
      <w:r>
        <w:t xml:space="preserve">Vidal-Meliá, C. (2013). An assessment of the 2011 Spanish pension reform using the Swedish system as benchmark. Journal of Pension Economics and Finance, 13(3), 297–333. </w:t>
      </w:r>
      <w:hyperlink r:id="rId30">
        <w:r>
          <w:rPr>
            <w:color w:val="772D3C"/>
            <w:u w:val="single"/>
          </w:rPr>
          <w:t>https://doi.org/10.1017/S1474747213000383</w:t>
        </w:r>
      </w:hyperlink>
    </w:p>
    <w:p>
      <w:pPr>
        <w:pStyle w:val="Reference"/>
      </w:pPr>
      <w:r>
        <w:t xml:space="preserve">Vidal-Meliá, C., &amp; Boado-Penas, M. del C. (2013). Compiling the actuarial balance for pay-as-you-go pension systems: Is it better to use the hidden asset or the contribution asset? Applied Economics, 45(10), 1303–1320. </w:t>
      </w:r>
      <w:hyperlink r:id="rId31">
        <w:r>
          <w:rPr>
            <w:color w:val="772D3C"/>
            <w:u w:val="single"/>
          </w:rPr>
          <w:t>https://doi.org/10.1080/00036846.2011.615733</w:t>
        </w:r>
      </w:hyperlink>
    </w:p>
    <w:p>
      <w:pPr>
        <w:pStyle w:val="Reference"/>
      </w:pPr>
      <w:r>
        <w:t xml:space="preserve">Regúlez-Castillo, M., &amp; Vidal-Meliá, C. (2012). Individual information for pension contributions: Recommendations for Spain based on international experiences. International Social Security Review, 65(2), 1–27. </w:t>
      </w:r>
      <w:hyperlink r:id="rId32">
        <w:r>
          <w:rPr>
            <w:color w:val="772D3C"/>
            <w:u w:val="single"/>
          </w:rPr>
          <w:t>https://doi.org/10.1111/j.1468-246X.2012.001426.x</w:t>
        </w:r>
      </w:hyperlink>
    </w:p>
    <w:p>
      <w:pPr>
        <w:pStyle w:val="Reference"/>
      </w:pPr>
      <w:r>
        <w:t xml:space="preserve">Boado-Penas, M. del C., &amp; Vidal-Meliá, C. (2012). The actuarial balance of the pay-as-you-go pension system: The Swedish NDC model versus the US DB model. In R. Holzmann, E. Palmer, &amp; D. Robalino (Eds.), NDC pension schemes in a changing pension world (Vol. 2, pp. 443–489). World Bank. </w:t>
      </w:r>
      <w:hyperlink r:id="rId33">
        <w:r>
          <w:rPr>
            <w:color w:val="772D3C"/>
            <w:u w:val="single"/>
          </w:rPr>
          <w:t>https://doi.org/10.1596/978-0-8213-9478-6</w:t>
        </w:r>
      </w:hyperlink>
    </w:p>
    <w:p>
      <w:pPr>
        <w:pStyle w:val="Heading3"/>
        <w:keepNext/>
      </w:pPr>
      <w:r>
        <w:t>Sublínea de impacto de la Industria 4.0</w:t>
      </w:r>
    </w:p>
    <w:p>
      <w:pPr>
        <w:pStyle w:val="Reference"/>
      </w:pPr>
      <w:r>
        <w:t>Ación López, A., &amp; Vidal-Meliá, C. (2026). Impacts of Industry 4.0 technologies on pension systems: A scoping review. International Social Security Review. Conditionally accepted.</w:t>
      </w:r>
    </w:p>
    <w:p>
      <w:pPr>
        <w:pStyle w:val="Heading2"/>
        <w:keepNext/>
      </w:pPr>
      <w:r>
        <w:t>6. La Muestra Continua de Vidas Laborales (MCVL) como fuente de datos (desde 2014)</w:t>
      </w:r>
    </w:p>
    <w:p>
      <w:pPr>
        <w:pStyle w:val="BodyText"/>
        <w:spacing w:after="140"/>
      </w:pPr>
      <w:r>
        <w:rPr>
          <w:b/>
        </w:rPr>
        <w:t xml:space="preserve">Breve descripción y objetivos: </w:t>
      </w:r>
      <w:r>
        <w:t>Esta línea utiliza microdatos administrativos para la optimización técnica y empírica de la Seguridad Social española. Sus objetivos son resolver la falta de representatividad muestral mediante programación no lineal para generar submuestras precisas; cuantificar la longevidad diferencial por nivel de renta y régimen —autónomos frente a asalariados—; y modelizar la mortalidad de colectivos vulnerables, permitiendo valorar compromisos financieros y reformar las tarifas de accidentes de trabajo y enfermedades profesionales con criterios actuarialmente justos.</w:t>
      </w:r>
    </w:p>
    <w:p>
      <w:pPr>
        <w:pStyle w:val="BodyText"/>
        <w:spacing w:after="140"/>
      </w:pPr>
      <w:r>
        <w:rPr>
          <w:b/>
        </w:rPr>
        <w:t xml:space="preserve">Investigadores y participación: </w:t>
      </w:r>
      <w:r>
        <w:t>Juan Manuel Pérez-Salamero (8/8), Marta Regúlez Castillo (7/8), Vicente Núñez-Antón (2/8), Manuel Ventura-Marco (2/8), Anna Castañer-Garriga (1/8) y Carlos Vidal-Meliá (8/8).</w:t>
      </w:r>
    </w:p>
    <w:p>
      <w:pPr>
        <w:pStyle w:val="BodyText"/>
        <w:spacing w:after="100"/>
      </w:pPr>
      <w:r>
        <w:rPr>
          <w:b/>
        </w:rPr>
        <w:t>Publicaciones y resultados de investigación:</w:t>
      </w:r>
    </w:p>
    <w:p>
      <w:pPr>
        <w:pStyle w:val="Heading3"/>
        <w:keepNext/>
      </w:pPr>
      <w:r>
        <w:t>Sublínea de longevidad y mortalidad</w:t>
      </w:r>
    </w:p>
    <w:p>
      <w:pPr>
        <w:pStyle w:val="Reference"/>
      </w:pPr>
      <w:r>
        <w:t xml:space="preserve">Vidal-Meliá, C., Regúlez Castillo, M., &amp; Pérez-Salamero González, J. M. (2025). Income inequalities in longevity among Spanish retirement pensioners aged 65+: A comprehensive analysis from 2008 to 2021. International Social Security Review, 78(4), 53–78. </w:t>
      </w:r>
      <w:hyperlink r:id="rId34">
        <w:r>
          <w:rPr>
            <w:color w:val="772D3C"/>
            <w:u w:val="single"/>
          </w:rPr>
          <w:t>https://doi.org/10.1111/issr.70014</w:t>
        </w:r>
      </w:hyperlink>
    </w:p>
    <w:p>
      <w:pPr>
        <w:pStyle w:val="Reference"/>
      </w:pPr>
      <w:r>
        <w:t xml:space="preserve">Pérez-Salamero González, J. M., Regúlez Castillo, M., Ventura-Marco, M., &amp; Vidal-Meliá, C. (2022). Mortality and life expectancy trends in Spain by pension income level. International Journal for Equity in Health, 21, 96. </w:t>
      </w:r>
      <w:hyperlink r:id="rId35">
        <w:r>
          <w:rPr>
            <w:color w:val="772D3C"/>
            <w:u w:val="single"/>
          </w:rPr>
          <w:t>https://doi.org/10.1186/s12939-022-01697-2</w:t>
        </w:r>
      </w:hyperlink>
    </w:p>
    <w:p>
      <w:pPr>
        <w:pStyle w:val="Reference"/>
      </w:pPr>
      <w:r>
        <w:t xml:space="preserve">Pérez-Salamero González, J. M., Regúlez Castillo, M., &amp; Vidal-Meliá, C. (2021). Differences in life expectancy between self-employed workers and paid employees. European Journal of Population, 37(3), 697–725. </w:t>
      </w:r>
      <w:hyperlink r:id="rId36">
        <w:r>
          <w:rPr>
            <w:color w:val="772D3C"/>
            <w:u w:val="single"/>
          </w:rPr>
          <w:t>https://doi.org/10.1007/s10680-021-09585-1</w:t>
        </w:r>
      </w:hyperlink>
    </w:p>
    <w:p>
      <w:pPr>
        <w:pStyle w:val="Reference"/>
      </w:pPr>
      <w:r>
        <w:t xml:space="preserve">Castañer-Garriga, A., Pérez-Salamero González, J. M., &amp; Vidal-Meliá, C. (2017). Evaluación de las tarifas de las pensiones de Accidentes de Trabajo y Enfermedades Profesionales (2011–2015). Innovar, 27(66), 153–167. </w:t>
      </w:r>
      <w:hyperlink r:id="rId37">
        <w:r>
          <w:rPr>
            <w:color w:val="772D3C"/>
            <w:u w:val="single"/>
          </w:rPr>
          <w:t>https://doi.org/10.15446/innovar.v27n66.66810</w:t>
        </w:r>
      </w:hyperlink>
    </w:p>
    <w:p>
      <w:pPr>
        <w:pStyle w:val="Heading3"/>
        <w:keepNext/>
      </w:pPr>
      <w:r>
        <w:t>Sublínea de aspectos técnicos</w:t>
      </w:r>
    </w:p>
    <w:p>
      <w:pPr>
        <w:pStyle w:val="Reference"/>
      </w:pPr>
      <w:r>
        <w:t xml:space="preserve">Núñez-Antón, V., Pérez-Salamero González, J. M., Regúlez-Castillo, M., &amp; Vidal-Meliá, C. (2020). Improving the representativeness of a simple random sample. Mathematics, 8(8), 1225. </w:t>
      </w:r>
      <w:hyperlink r:id="rId38">
        <w:r>
          <w:rPr>
            <w:color w:val="772D3C"/>
            <w:u w:val="single"/>
          </w:rPr>
          <w:t>https://doi.org/10.3390/math8081225</w:t>
        </w:r>
      </w:hyperlink>
    </w:p>
    <w:p>
      <w:pPr>
        <w:pStyle w:val="Reference"/>
      </w:pPr>
      <w:r>
        <w:t xml:space="preserve">Núñez-Antón, V., Pérez-Salamero, J. M., Regúlez-Castillo, M., Ventura-Marco, M., &amp; Vidal-Meliá, C. (2019). Automatic regrouping of strata in the goodness-of-fit chi-square test. SORT, 43(1), 113–142. </w:t>
      </w:r>
      <w:hyperlink r:id="rId39">
        <w:r>
          <w:rPr>
            <w:color w:val="772D3C"/>
            <w:u w:val="single"/>
          </w:rPr>
          <w:t>https://doi.org/10.2436/20.8080.02.83</w:t>
        </w:r>
      </w:hyperlink>
    </w:p>
    <w:p>
      <w:pPr>
        <w:pStyle w:val="Reference"/>
      </w:pPr>
      <w:r>
        <w:t xml:space="preserve">Pérez-Salamero, J. M., Regúlez-Castillo, M., &amp; Vidal-Meliá, C. (2017). The Continuous Sample of Working Lives: Improving its representativeness. SERIEs, 8(1), 43–95. </w:t>
      </w:r>
      <w:hyperlink r:id="rId40">
        <w:r>
          <w:rPr>
            <w:color w:val="772D3C"/>
            <w:u w:val="single"/>
          </w:rPr>
          <w:t>https://doi.org/10.1007/s13209-017-0154-0</w:t>
        </w:r>
      </w:hyperlink>
    </w:p>
    <w:p>
      <w:pPr>
        <w:pStyle w:val="Reference"/>
      </w:pPr>
      <w:r>
        <w:t xml:space="preserve">Pérez-Salamero, J. M., Regúlez-Castillo, M., &amp; Vidal-Meliá, C. (2016). Análisis de la representatividad de la MCVL: El caso de las prestaciones del sistema público de pensiones. Hacienda Pública Española / Review of Public Economics, 217(2), 67–130. </w:t>
      </w:r>
      <w:hyperlink r:id="rId41">
        <w:r>
          <w:rPr>
            <w:color w:val="772D3C"/>
            <w:u w:val="single"/>
          </w:rPr>
          <w:t>https://doi.org/10.7866/HPE-RPE.16.2.3</w:t>
        </w:r>
      </w:hyperlink>
    </w:p>
    <w:p>
      <w:pPr>
        <w:pStyle w:val="Heading2"/>
        <w:keepNext/>
      </w:pPr>
      <w:r>
        <w:t>7. El seguro de divorcio: Aspectos actuariales, sociales y jurídicos (desde 2024)</w:t>
      </w:r>
    </w:p>
    <w:p>
      <w:pPr>
        <w:pStyle w:val="BodyText"/>
        <w:spacing w:after="140"/>
      </w:pPr>
      <w:r>
        <w:rPr>
          <w:b/>
        </w:rPr>
        <w:t xml:space="preserve">Breve descripción y objetivos: </w:t>
      </w:r>
      <w:r>
        <w:t>Esta línea investiga la creación de un nuevo mercado asegurador para el riesgo de ruptura matrimonial. Sus objetivos son validar la legalidad del seguro de divorcio en el Derecho de la Unión Europea y español; segmentar riesgos mediante técnicas de aprendizaje automático calibradas para eventos raros; y proponer un seguro de sumas que mitigue externalidades sociales como el riesgo de pobreza de menores y mujeres.</w:t>
      </w:r>
    </w:p>
    <w:p>
      <w:pPr>
        <w:pStyle w:val="BodyText"/>
        <w:spacing w:after="140"/>
      </w:pPr>
      <w:r>
        <w:rPr>
          <w:b/>
        </w:rPr>
        <w:t xml:space="preserve">Investigadores y participación: </w:t>
      </w:r>
      <w:r>
        <w:t>Juan Bataller Grau (3/5) y Carlos Vidal-Meliá (5/5).</w:t>
      </w:r>
    </w:p>
    <w:p>
      <w:pPr>
        <w:pStyle w:val="BodyText"/>
        <w:spacing w:after="100"/>
      </w:pPr>
      <w:r>
        <w:rPr>
          <w:b/>
        </w:rPr>
        <w:t>Publicaciones y resultados de investigación:</w:t>
      </w:r>
    </w:p>
    <w:p>
      <w:pPr>
        <w:pStyle w:val="Heading3"/>
        <w:keepNext/>
      </w:pPr>
      <w:r>
        <w:t>Publicaciones</w:t>
      </w:r>
    </w:p>
    <w:p>
      <w:pPr>
        <w:pStyle w:val="Reference"/>
      </w:pPr>
      <w:r>
        <w:t xml:space="preserve">Bataller-Grau, J., &amp; Vidal-Meliá, C. (2026). When fictional imagination meets divorce insurance: Feasibility, safeguards, and family outcomes. Humanities and Social Sciences Communications, 13, Article 1262. </w:t>
      </w:r>
      <w:hyperlink r:id="rId42">
        <w:r>
          <w:rPr>
            <w:color w:val="772D3C"/>
            <w:u w:val="single"/>
          </w:rPr>
          <w:t>https://doi.org/10.1057/s41599-026-07654-6</w:t>
        </w:r>
      </w:hyperlink>
    </w:p>
    <w:p>
      <w:pPr>
        <w:pStyle w:val="Reference"/>
      </w:pPr>
      <w:r>
        <w:t xml:space="preserve">Vidal-Meliá, C. (2026). Divorce insurance: A simulation-based framework for short-term financial protection in marital dissolution. Family Transitions. Advance online publication. </w:t>
      </w:r>
      <w:hyperlink r:id="rId43">
        <w:r>
          <w:rPr>
            <w:color w:val="772D3C"/>
            <w:u w:val="single"/>
          </w:rPr>
          <w:t>https://doi.org/10.1080/28375300.2026.2724728</w:t>
        </w:r>
      </w:hyperlink>
    </w:p>
    <w:p>
      <w:pPr>
        <w:pStyle w:val="Reference"/>
      </w:pPr>
      <w:r>
        <w:t>Bataller Grau, J., &amp; Vidal-Meliá, C. (2026). Lawfulness of divorce insurance in European Union. In P. Marano (Ed.), Research Handbook on EU Insurance Law and Regulation. Edward Elgar. In press.</w:t>
      </w:r>
    </w:p>
    <w:p>
      <w:pPr>
        <w:pStyle w:val="Reference"/>
      </w:pPr>
      <w:r>
        <w:t xml:space="preserve">Bataller Grau, J., &amp; Vidal-Meliá, C. (2025). El seguro de divorcio como seguro de sumas: Una propuesta desde el Derecho español. Revista de Derecho del Sistema Financiero, 10. </w:t>
      </w:r>
      <w:hyperlink r:id="rId44">
        <w:r>
          <w:rPr>
            <w:color w:val="772D3C"/>
            <w:u w:val="single"/>
          </w:rPr>
          <w:t>https://dialnet.unirioja.es/servlet/articulo?codigo=10468587</w:t>
        </w:r>
      </w:hyperlink>
    </w:p>
    <w:p>
      <w:pPr>
        <w:pStyle w:val="Heading3"/>
        <w:keepNext/>
      </w:pPr>
      <w:r>
        <w:t>Trabajo en curso</w:t>
      </w:r>
    </w:p>
    <w:p>
      <w:pPr>
        <w:pStyle w:val="Reference"/>
      </w:pPr>
      <w:r>
        <w:t>Calibrated ML risk segmentation for divorce insurance: Evidence from 10,000 synthetic couples. Work in progress.</w:t>
      </w:r>
    </w:p>
    <w:p>
      <w:pPr>
        <w:pStyle w:val="Heading1"/>
      </w:pPr>
      <w:r>
        <w:t>LÍNEAS DE INVESTIGACIÓN HISTÓRICAS</w:t>
      </w:r>
    </w:p>
    <w:p>
      <w:pPr>
        <w:pStyle w:val="Heading2"/>
        <w:keepNext/>
      </w:pPr>
      <w:r>
        <w:t>1. Alternativas individuales de ahorro-pensión: Planes de Pensiones (1993–1999)</w:t>
      </w:r>
    </w:p>
    <w:p>
      <w:pPr>
        <w:pStyle w:val="BodyText"/>
        <w:spacing w:after="140"/>
      </w:pPr>
      <w:r>
        <w:rPr>
          <w:b/>
        </w:rPr>
        <w:t xml:space="preserve">Breve descripción y objetivos: </w:t>
      </w:r>
      <w:r>
        <w:t>Esta línea se centró en el tercer pilar de la protección social y en las contingencias individuales de jubilación. Sus objetivos fueron realizar estudios formalizados de ahorro-pensión, formular propuestas fiscales para atenuar la falta de liquidez de los planes y definir estrategias de inversión basadas en perfiles de ingresos y tipos impositivos.</w:t>
      </w:r>
    </w:p>
    <w:p>
      <w:pPr>
        <w:pStyle w:val="BodyText"/>
        <w:spacing w:after="140"/>
      </w:pPr>
      <w:r>
        <w:rPr>
          <w:b/>
        </w:rPr>
        <w:t xml:space="preserve">Investigadores y participación: </w:t>
      </w:r>
      <w:r>
        <w:t>Enrique Devesa Carpio (7/9), María Paz Jordá Durá (2/9), Mar Devesa Carpio (1/9) y Carlos Vidal-Meliá (9/9).</w:t>
      </w:r>
    </w:p>
    <w:p>
      <w:pPr>
        <w:pStyle w:val="BodyText"/>
        <w:spacing w:after="100"/>
      </w:pPr>
      <w:r>
        <w:rPr>
          <w:b/>
        </w:rPr>
        <w:t>Publicaciones y resultados de investigación:</w:t>
      </w:r>
    </w:p>
    <w:p>
      <w:pPr>
        <w:pStyle w:val="Heading3"/>
        <w:keepNext/>
      </w:pPr>
      <w:r>
        <w:t>Publicaciones destacadas</w:t>
      </w:r>
    </w:p>
    <w:p>
      <w:pPr>
        <w:pStyle w:val="Reference"/>
      </w:pPr>
      <w:r>
        <w:t>Devesa Carpio, J. E., &amp; Vidal-Meliá, C. (1999). Planes de pensiones individuales y sobreimposición. Revista Europea de Dirección y Economía de la Empresa, 8(4), 135–148.</w:t>
      </w:r>
    </w:p>
    <w:p>
      <w:pPr>
        <w:pStyle w:val="Reference"/>
      </w:pPr>
      <w:r>
        <w:t>Devesa, J. E., &amp; Vidal-Meliá, C. (1997). Estrategias individuales de ahorro-pensión y perfiles de ingresos. Revista Española de Financiación y Contabilidad, 26(90), 167–195.</w:t>
      </w:r>
    </w:p>
    <w:p>
      <w:pPr>
        <w:pStyle w:val="Heading2"/>
        <w:keepNext/>
      </w:pPr>
      <w:r>
        <w:t>2. El sistema de cuentas nocionales y otros aspectos de los sistemas de reparto (1999–2007)</w:t>
      </w:r>
    </w:p>
    <w:p>
      <w:pPr>
        <w:pStyle w:val="BodyText"/>
        <w:spacing w:after="140"/>
      </w:pPr>
      <w:r>
        <w:rPr>
          <w:b/>
        </w:rPr>
        <w:t xml:space="preserve">Breve descripción y objetivos: </w:t>
      </w:r>
      <w:r>
        <w:t>Esta línea desarrolló el fundamento actuarial de las cuentas nocionales de aportación definida (NDC), analizó la sostenibilidad de los sistemas de reparto internacionales, modelizó la transición desde prestación definida hacia NDC y cuantificó el riesgo económico subjetivo para los beneficiarios.</w:t>
      </w:r>
    </w:p>
    <w:p>
      <w:pPr>
        <w:pStyle w:val="BodyText"/>
        <w:spacing w:after="140"/>
      </w:pPr>
      <w:r>
        <w:rPr>
          <w:b/>
        </w:rPr>
        <w:t xml:space="preserve">Investigadores y participación: </w:t>
      </w:r>
      <w:r>
        <w:t>Inmaculada Domínguez Fabián (9/12), María del Carmen Boado-Penas (5/12), Enrique Devesa Carpio (4/12), Ana Lejárraga-García (2/12), Salvador Valdés-Prieto (1/12) y Carlos Vidal-Meliá (12/12).</w:t>
      </w:r>
    </w:p>
    <w:p>
      <w:pPr>
        <w:pStyle w:val="BodyText"/>
        <w:spacing w:after="100"/>
      </w:pPr>
      <w:r>
        <w:rPr>
          <w:b/>
        </w:rPr>
        <w:t>Publicaciones y resultados de investigación:</w:t>
      </w:r>
    </w:p>
    <w:p>
      <w:pPr>
        <w:pStyle w:val="Heading3"/>
        <w:keepNext/>
      </w:pPr>
      <w:r>
        <w:t>Publicaciones destacadas</w:t>
      </w:r>
    </w:p>
    <w:p>
      <w:pPr>
        <w:pStyle w:val="Reference"/>
      </w:pPr>
      <w:r>
        <w:t xml:space="preserve">Vidal-Meliá, C., Domínguez-Fabián, I., &amp; Devesa-Carpio, J. E. (2006). Subjective economic risk to beneficiaries in notional defined contribution accounts (NDCs). Journal of Risk and Insurance, 73(3), 489–515. </w:t>
      </w:r>
      <w:hyperlink r:id="rId45">
        <w:r>
          <w:rPr>
            <w:color w:val="772D3C"/>
            <w:u w:val="single"/>
          </w:rPr>
          <w:t>https://doi.org/10.1111/j.1539-6975.2006.00185.x</w:t>
        </w:r>
      </w:hyperlink>
    </w:p>
    <w:p>
      <w:pPr>
        <w:pStyle w:val="Reference"/>
      </w:pPr>
      <w:r>
        <w:t>Devesa-Carpio, J. E., &amp; Vidal-Meliá, C. (2004). Cuentas nocionales de aportación definida (NDCs): ¿Cuál hubiera sido el efecto de su implantación en España? Moneda y Crédito, 219, 101–142.</w:t>
      </w:r>
    </w:p>
    <w:p>
      <w:pPr>
        <w:pStyle w:val="Heading2"/>
        <w:keepNext/>
      </w:pPr>
      <w:r>
        <w:t>3. Modalidades de pensión en los sistemas de capitalización (2000–2006)</w:t>
      </w:r>
    </w:p>
    <w:p>
      <w:pPr>
        <w:pStyle w:val="BodyText"/>
        <w:spacing w:after="140"/>
      </w:pPr>
      <w:r>
        <w:rPr>
          <w:b/>
        </w:rPr>
        <w:t xml:space="preserve">Breve descripción y objetivos: </w:t>
      </w:r>
      <w:r>
        <w:t>Esta línea trató de clarificar el ‘enigma de las rentas vitalicias’ mediante la modelización del motivo de herencia. También evaluó los costes de administración en los sistemas de capitalización individual y la regulación de las modalidades de pensión en América Latina.</w:t>
      </w:r>
    </w:p>
    <w:p>
      <w:pPr>
        <w:pStyle w:val="BodyText"/>
        <w:spacing w:after="140"/>
      </w:pPr>
      <w:r>
        <w:rPr>
          <w:b/>
        </w:rPr>
        <w:t xml:space="preserve">Investigadores y participación: </w:t>
      </w:r>
      <w:r>
        <w:t>Enrique Devesa Carpio (5/7), Ana Lejárraga-García (5/7), Rosa Rodríguez Barrera (1/7) y Carlos Vidal-Meliá (7/7).</w:t>
      </w:r>
    </w:p>
    <w:p>
      <w:pPr>
        <w:pStyle w:val="BodyText"/>
        <w:spacing w:after="100"/>
      </w:pPr>
      <w:r>
        <w:rPr>
          <w:b/>
        </w:rPr>
        <w:t>Publicaciones y resultados de investigación:</w:t>
      </w:r>
    </w:p>
    <w:p>
      <w:pPr>
        <w:pStyle w:val="Heading3"/>
        <w:keepNext/>
      </w:pPr>
      <w:r>
        <w:t>Publicaciones destacadas</w:t>
      </w:r>
    </w:p>
    <w:p>
      <w:pPr>
        <w:pStyle w:val="Reference"/>
      </w:pPr>
      <w:r>
        <w:t xml:space="preserve">Vidal-Meliá, C., &amp; Lejárraga-García, A. (2006). Demand for life annuities from married couples with a bequest motive. Journal of Pension Economics and Finance, 5(2), 197–229. </w:t>
      </w:r>
      <w:hyperlink r:id="rId46">
        <w:r>
          <w:rPr>
            <w:color w:val="772D3C"/>
            <w:u w:val="single"/>
          </w:rPr>
          <w:t>https://doi.org/10.1017/S1474747205002349</w:t>
        </w:r>
      </w:hyperlink>
    </w:p>
    <w:p>
      <w:pPr>
        <w:pStyle w:val="Reference"/>
      </w:pPr>
      <w:r>
        <w:t>Lejárraga-García, A., Vidal-Meliá, C., &amp; Devesa-Carpio, J. E. (2002). Regulación de las modalidades de pensión en los sistemas de capitalización de América Latina. Revista de Análisis Económico, 17(2), 49–94.</w:t>
      </w:r>
    </w:p>
    <w:p>
      <w:pPr>
        <w:pStyle w:val="Heading2"/>
        <w:keepNext/>
      </w:pPr>
      <w:r>
        <w:t>4. Instrumentos para mejorar el sistema de reparto (2008–2016)</w:t>
      </w:r>
    </w:p>
    <w:p>
      <w:pPr>
        <w:pStyle w:val="BodyText"/>
        <w:spacing w:after="140"/>
      </w:pPr>
      <w:r>
        <w:rPr>
          <w:b/>
        </w:rPr>
        <w:t xml:space="preserve">Breve descripción y objetivos: </w:t>
      </w:r>
      <w:r>
        <w:t>Esta línea se centró en las herramientas de transparencia y solvencia de las pensiones públicas. Sus objetivos fueron demostrar la utilidad de los balances actuariales como indicadores de solvencia y diseñar mecanismos automáticos de equilibrio inspirados en el modelo sueco.</w:t>
      </w:r>
    </w:p>
    <w:p>
      <w:pPr>
        <w:pStyle w:val="BodyText"/>
        <w:spacing w:after="140"/>
      </w:pPr>
      <w:r>
        <w:rPr>
          <w:b/>
        </w:rPr>
        <w:t xml:space="preserve">Investigadores y participación: </w:t>
      </w:r>
      <w:r>
        <w:t>María del Carmen Boado-Penas (10/17), Marta Regúlez Castillo (5/17), Ole Settergren (4/17), Manuel García García (2/17), Salvador Valdés-Prieto (1/17), Francisco Navarro-Cabo (1/17) y Carlos Vidal-Meliá (17/17).</w:t>
      </w:r>
    </w:p>
    <w:p>
      <w:pPr>
        <w:pStyle w:val="BodyText"/>
        <w:spacing w:after="100"/>
      </w:pPr>
      <w:r>
        <w:rPr>
          <w:b/>
        </w:rPr>
        <w:t>Publicaciones y resultados de investigación:</w:t>
      </w:r>
    </w:p>
    <w:p>
      <w:pPr>
        <w:pStyle w:val="Heading3"/>
        <w:keepNext/>
      </w:pPr>
      <w:r>
        <w:t>Publicaciones destacadas</w:t>
      </w:r>
    </w:p>
    <w:p>
      <w:pPr>
        <w:pStyle w:val="Reference"/>
      </w:pPr>
      <w:r>
        <w:t xml:space="preserve">Vidal-Meliá, C., Boado-Penas, M. C., &amp; Settergren, O. (2009). Automatic balance mechanisms in pay-as-you-go pension systems. The Geneva Papers on Risk and Insurance – Issues and Practice, 34(2), 287–317. </w:t>
      </w:r>
      <w:hyperlink r:id="rId47">
        <w:r>
          <w:rPr>
            <w:color w:val="772D3C"/>
            <w:u w:val="single"/>
          </w:rPr>
          <w:t>https://doi.org/10.1057/gpp.2009.2</w:t>
        </w:r>
      </w:hyperlink>
    </w:p>
    <w:p>
      <w:pPr>
        <w:pStyle w:val="Reference"/>
      </w:pPr>
      <w:r>
        <w:t xml:space="preserve">Boado-Penas, M. C., Valdés-Prieto, S., &amp; Vidal-Meliá, C. (2008). An actuarial balance sheet for pay-as-you-go finance: Solvency indicators for Spain and Sweden. Fiscal Studies, 29(1), 89–134. </w:t>
      </w:r>
      <w:hyperlink r:id="rId48">
        <w:r>
          <w:rPr>
            <w:color w:val="772D3C"/>
            <w:u w:val="single"/>
          </w:rPr>
          <w:t>https://doi.org/10.1111/j.1475-5890.2008.00070.x</w:t>
        </w:r>
      </w:hyperlink>
    </w:p>
    <w:p>
      <w:pPr>
        <w:pStyle w:val="Heading1"/>
        <w:pageBreakBefore/>
        <w:spacing w:after="80"/>
      </w:pPr>
      <w:r>
        <w:t>ENGLISH</w:t>
      </w:r>
    </w:p>
    <w:p>
      <w:pPr>
        <w:pStyle w:val="Subtitle"/>
        <w:spacing w:after="360"/>
      </w:pPr>
      <w:r>
        <w:t>Updated 12 October 2026</w:t>
      </w:r>
    </w:p>
    <w:p>
      <w:pPr>
        <w:pStyle w:val="Heading1"/>
      </w:pPr>
      <w:r>
        <w:t>CURRENT RESEARCH LINES</w:t>
      </w:r>
    </w:p>
    <w:p>
      <w:pPr>
        <w:pStyle w:val="Heading2"/>
        <w:keepNext/>
      </w:pPr>
      <w:r>
        <w:t>5. Instruments to improve the PAYG system 2.0: Minimum pensions, disability, and long-term care (since 2012)</w:t>
      </w:r>
    </w:p>
    <w:p>
      <w:pPr>
        <w:pStyle w:val="BodyText"/>
        <w:spacing w:after="140"/>
      </w:pPr>
      <w:r>
        <w:rPr>
          <w:b/>
        </w:rPr>
        <w:t xml:space="preserve">Description and objectives: </w:t>
      </w:r>
      <w:r>
        <w:t>This line expands actuarial analysis towards an open-group approach with accrual and integrates complex biometric risks. Its objectives are to design notional defined contribution (NDC) systems that absorb volatility arising from disability and long-term-care contingencies; develop integrated actuarial balance sheets that reveal the true cost of redistribution and minimum pensions; and evaluate the impact of Industry 4.0 on financial sustainability by proposing adjustment mechanisms for labour-market automation.</w:t>
      </w:r>
    </w:p>
    <w:p>
      <w:pPr>
        <w:pStyle w:val="BodyText"/>
        <w:spacing w:after="140"/>
      </w:pPr>
      <w:r>
        <w:rPr>
          <w:b/>
        </w:rPr>
        <w:t xml:space="preserve">Researchers and participation: </w:t>
      </w:r>
      <w:r>
        <w:t>Manuel Ventura-Marco (11/25), Juan Manuel Pérez-Salamero (6/25), Anne Marie Garvey (6/25), María del Carmen Boado-Penas (5/25), Javier Pla-Porcel (4/25), Ahmed Ación López (4/25), Marta Regúlez Castillo (1/25), Francisco Navarro-Cabo (1/25), Anna Castañer (1/25), and Carlos Vidal-Meliá (25/25).</w:t>
      </w:r>
    </w:p>
    <w:p>
      <w:pPr>
        <w:pStyle w:val="BodyText"/>
        <w:spacing w:after="100"/>
      </w:pPr>
      <w:r>
        <w:rPr>
          <w:b/>
        </w:rPr>
        <w:t>Publications and research outputs:</w:t>
      </w:r>
    </w:p>
    <w:p>
      <w:pPr>
        <w:pStyle w:val="Heading3"/>
        <w:keepNext/>
      </w:pPr>
      <w:r>
        <w:t>Disability sub-line</w:t>
      </w:r>
    </w:p>
    <w:p>
      <w:pPr>
        <w:pStyle w:val="Reference"/>
      </w:pPr>
      <w:r>
        <w:t>Vidal-Meliá, C., &amp; Ación López, A. (2026). High ex post actuarial returns, modest benefits? Disability grade, sex and age at award in Spanish permanent-disability pensions, 2015–2023. Economies. In press.</w:t>
      </w:r>
    </w:p>
    <w:p>
      <w:pPr>
        <w:pStyle w:val="Reference"/>
      </w:pPr>
      <w:r>
        <w:t xml:space="preserve">Garvey, A. M., Ventura-Marco, M., &amp; Vidal-Meliá, C. (2021). Does the pension system’s income statement really matter? A proposal for an NDC scheme with disability and minimum pension benefits. Economic Research–Ekonomska Istraživanja, 34(1), 292–310. </w:t>
      </w:r>
      <w:hyperlink r:id="rId11">
        <w:r>
          <w:rPr>
            <w:color w:val="772D3C"/>
            <w:u w:val="single"/>
          </w:rPr>
          <w:t>https://doi.org/10.1080/1331677X.2020.1782246</w:t>
        </w:r>
      </w:hyperlink>
    </w:p>
    <w:p>
      <w:pPr>
        <w:pStyle w:val="Reference"/>
      </w:pPr>
      <w:r>
        <w:t xml:space="preserve">Pérez-Salamero, J. M., Ventura-Marco, M., &amp; Vidal-Meliá, C. (2017). A ‘Swedish’ actuarial balance for a notional defined contribution pension scheme with disability and minimum pension benefits. International Social Security Review, 70(3), 79–104. </w:t>
      </w:r>
      <w:hyperlink r:id="rId12">
        <w:r>
          <w:rPr>
            <w:color w:val="772D3C"/>
            <w:u w:val="single"/>
          </w:rPr>
          <w:t>https://doi.org/10.1111/issr.12143</w:t>
        </w:r>
      </w:hyperlink>
    </w:p>
    <w:p>
      <w:pPr>
        <w:pStyle w:val="Reference"/>
      </w:pPr>
      <w:r>
        <w:t xml:space="preserve">Ventura-Marco, M., &amp; Vidal-Meliá, C. (2016). Integrating retirement and permanent disability in NDC pension schemes. Applied Economics, 48(12), 1081–1102. </w:t>
      </w:r>
      <w:hyperlink r:id="rId13">
        <w:r>
          <w:rPr>
            <w:color w:val="772D3C"/>
            <w:u w:val="single"/>
          </w:rPr>
          <w:t>https://doi.org/10.1080/00036846.2015.1093084</w:t>
        </w:r>
      </w:hyperlink>
    </w:p>
    <w:p>
      <w:pPr>
        <w:pStyle w:val="Reference"/>
      </w:pPr>
      <w:r>
        <w:t xml:space="preserve">Ventura-Marco, M., &amp; Vidal-Meliá, C. (2014). An actuarial balance sheet model for defined benefit pay-as-you-go pension systems with disability and retirement contingencies. ASTIN Bulletin, 44(2), 367–415. </w:t>
      </w:r>
      <w:hyperlink r:id="rId14">
        <w:r>
          <w:rPr>
            <w:color w:val="772D3C"/>
            <w:u w:val="single"/>
          </w:rPr>
          <w:t>https://doi.org/10.1017/asb.2014.5</w:t>
        </w:r>
      </w:hyperlink>
    </w:p>
    <w:p>
      <w:pPr>
        <w:pStyle w:val="Heading3"/>
        <w:keepNext/>
      </w:pPr>
      <w:r>
        <w:t>Long-term care sub-line</w:t>
      </w:r>
    </w:p>
    <w:p>
      <w:pPr>
        <w:pStyle w:val="Reference"/>
      </w:pPr>
      <w:r>
        <w:t xml:space="preserve">Vidal-Meliá, C., Ventura-Marco, M., &amp; Garvey, A. (2024). Analyzing the demographic coherence of selected US, Australian and Chinese biometric data sets. Quality &amp; Quantity, 58, 2813–2836. </w:t>
      </w:r>
      <w:hyperlink r:id="rId15">
        <w:r>
          <w:rPr>
            <w:color w:val="772D3C"/>
            <w:u w:val="single"/>
          </w:rPr>
          <w:t>https://doi.org/10.1007/s11135-023-01782-w</w:t>
        </w:r>
      </w:hyperlink>
    </w:p>
    <w:p>
      <w:pPr>
        <w:pStyle w:val="Reference"/>
      </w:pPr>
      <w:r>
        <w:t xml:space="preserve">Ventura-Marco, M., Vidal-Meliá, C., &amp; Pérez-Salamero González, J. M. (2023). Joint life care annuities to help retired couples to finance the cost of long-term care. Insurance: Mathematics and Economics, 113, 122–139. </w:t>
      </w:r>
      <w:hyperlink r:id="rId16">
        <w:r>
          <w:rPr>
            <w:color w:val="772D3C"/>
            <w:u w:val="single"/>
          </w:rPr>
          <w:t>https://doi.org/10.1016/j.insmatheco.2023.08.002</w:t>
        </w:r>
      </w:hyperlink>
    </w:p>
    <w:p>
      <w:pPr>
        <w:pStyle w:val="Reference"/>
      </w:pPr>
      <w:r>
        <w:t xml:space="preserve">Vidal-Meliá, C., Ventura-Marco, M., &amp; Pla-Porcel, J. (2020). An NDC approach to helping pensioners cope with the cost of long-term care. Journal of Pension Economics and Finance, 19(1), 80–108. </w:t>
      </w:r>
      <w:hyperlink r:id="rId17">
        <w:r>
          <w:rPr>
            <w:color w:val="772D3C"/>
            <w:u w:val="single"/>
          </w:rPr>
          <w:t>https://doi.org/10.1017/S1474747218000070</w:t>
        </w:r>
      </w:hyperlink>
    </w:p>
    <w:p>
      <w:pPr>
        <w:pStyle w:val="Reference"/>
      </w:pPr>
      <w:r>
        <w:t xml:space="preserve">Vidal-Meliá, C., Ventura-Marco, M., &amp; Pla-Porcel, J. (2019). Unisex life care annuities embedded in a pay-as-you-go pension system. Journal of Population Ageing, 12(4), 405–426. </w:t>
      </w:r>
      <w:hyperlink r:id="rId18">
        <w:r>
          <w:rPr>
            <w:color w:val="772D3C"/>
            <w:u w:val="single"/>
          </w:rPr>
          <w:t>https://doi.org/10.1007/s12062-018-9229-3</w:t>
        </w:r>
      </w:hyperlink>
    </w:p>
    <w:p>
      <w:pPr>
        <w:pStyle w:val="Reference"/>
      </w:pPr>
      <w:r>
        <w:t xml:space="preserve">Vidal-Meliá, C., Ventura-Marco, M., &amp; Pérez-Salamero, J. M. (2018). Social insurance accounting for a notional defined contribution scheme combining retirement and long-term care benefits. Sustainability, 10(8), 2832. </w:t>
      </w:r>
      <w:hyperlink r:id="rId19">
        <w:r>
          <w:rPr>
            <w:color w:val="772D3C"/>
            <w:u w:val="single"/>
          </w:rPr>
          <w:t>https://doi.org/10.3390/su10082832</w:t>
        </w:r>
      </w:hyperlink>
    </w:p>
    <w:p>
      <w:pPr>
        <w:pStyle w:val="Reference"/>
      </w:pPr>
      <w:r>
        <w:t xml:space="preserve">Pla-Porcel, J., Ventura-Marco, M., &amp; Vidal-Meliá, C. (2017). Converting retirement benefit into a life care annuity with graded benefits. Scandinavian Actuarial Journal, 2017(10), 829–853. </w:t>
      </w:r>
      <w:hyperlink r:id="rId20">
        <w:r>
          <w:rPr>
            <w:color w:val="772D3C"/>
            <w:u w:val="single"/>
          </w:rPr>
          <w:t>https://doi.org/10.1080/03461238.2016.1258370</w:t>
        </w:r>
      </w:hyperlink>
    </w:p>
    <w:p>
      <w:pPr>
        <w:pStyle w:val="Reference"/>
      </w:pPr>
      <w:r>
        <w:t xml:space="preserve">Pla-Porcel, J., Ventura-Marco, M., &amp; Vidal-Meliá, C. (2016). Life care annuities (LCA) embedded in a notional defined contribution (NDC) framework. ASTIN Bulletin, 46(2), 331–363. </w:t>
      </w:r>
      <w:hyperlink r:id="rId21">
        <w:r>
          <w:rPr>
            <w:color w:val="772D3C"/>
            <w:u w:val="single"/>
          </w:rPr>
          <w:t>https://doi.org/10.1017/asb.2015.27</w:t>
        </w:r>
      </w:hyperlink>
    </w:p>
    <w:p>
      <w:pPr>
        <w:pStyle w:val="Heading3"/>
        <w:keepNext/>
      </w:pPr>
      <w:r>
        <w:t>Notional accounts and actuarial balance sheets sub-line</w:t>
      </w:r>
    </w:p>
    <w:p>
      <w:pPr>
        <w:pStyle w:val="Reference"/>
      </w:pPr>
      <w:r>
        <w:t xml:space="preserve">Ación López, A., &amp; Vidal-Meliá, C. (2026a). Delayed-retirement incentives in Spain: Evaluating lump-sum commutation and actuarial fairness (Estudios sobre la Economía Española, 2026/25). Fundación de Estudios de Economía Aplicada. </w:t>
      </w:r>
      <w:hyperlink r:id="rId22">
        <w:r>
          <w:rPr>
            <w:color w:val="772D3C"/>
            <w:u w:val="single"/>
          </w:rPr>
          <w:t>https://documentos.fedea.net/pubs/eee/2026/eee2026-25.pdf</w:t>
        </w:r>
      </w:hyperlink>
    </w:p>
    <w:p>
      <w:pPr>
        <w:pStyle w:val="Reference"/>
      </w:pPr>
      <w:r>
        <w:t xml:space="preserve">Ación López, A., &amp; Vidal-Meliá, C. (2026b). NDC benchmarking of Spanish pensions: Disability, survivor reversibility and hidden redistribution (Estudios sobre la Economía Española, 2026/29). Fundación de Estudios de Economía Aplicada. </w:t>
      </w:r>
      <w:hyperlink r:id="rId23">
        <w:r>
          <w:rPr>
            <w:color w:val="772D3C"/>
            <w:u w:val="single"/>
          </w:rPr>
          <w:t>https://documentos.fedea.net/pubs/eee/2026/eee2026-29.pdf</w:t>
        </w:r>
      </w:hyperlink>
    </w:p>
    <w:p>
      <w:pPr>
        <w:pStyle w:val="Reference"/>
      </w:pPr>
      <w:r>
        <w:t xml:space="preserve">Castañer, A., Garvey, A. M., Pérez-Salamero González, J. M., &amp; Vidal-Meliá, C. (2025). Transforming Eurostat’s Table 29 into an actuarial balance sheet. Journal of Risk and Financial Management, 18(9), 528. </w:t>
      </w:r>
      <w:hyperlink r:id="rId24">
        <w:r>
          <w:rPr>
            <w:color w:val="772D3C"/>
            <w:u w:val="single"/>
          </w:rPr>
          <w:t>https://doi.org/10.3390/jrfm18090528</w:t>
        </w:r>
      </w:hyperlink>
    </w:p>
    <w:p>
      <w:pPr>
        <w:pStyle w:val="Reference"/>
      </w:pPr>
      <w:r>
        <w:t xml:space="preserve">Garvey, A., Pérez-Salamero González, J. M., Ventura-Marco, M., &amp; Vidal-Meliá, C. (2023). Transforming the supplementary table on pension liabilities (Table 29) into an actuarial balance sheet. Public Money &amp; Management, 43(8), 782–793. </w:t>
      </w:r>
      <w:hyperlink r:id="rId25">
        <w:r>
          <w:rPr>
            <w:color w:val="772D3C"/>
            <w:u w:val="single"/>
          </w:rPr>
          <w:t>https://doi.org/10.1080/09540962.2022.2144362</w:t>
        </w:r>
      </w:hyperlink>
    </w:p>
    <w:p>
      <w:pPr>
        <w:pStyle w:val="Reference"/>
      </w:pPr>
      <w:r>
        <w:t xml:space="preserve">Garvey, A. M., Pérez-Salamero González, J. M., Ventura-Marco, M., &amp; Vidal-Meliá, C. (2022). Improving decision-making information: ‘Table 29’ to an actuarial balance sheet. In M. Corazza, C. Perna, C. Pizzi, &amp; M. Sibillo (Eds.), Mathematical and statistical methods for actuarial sciences and finance (pp. 477–484). Springer. </w:t>
      </w:r>
      <w:hyperlink r:id="rId26">
        <w:r>
          <w:rPr>
            <w:color w:val="772D3C"/>
            <w:u w:val="single"/>
          </w:rPr>
          <w:t>https://doi.org/10.1007/978-3-030-99638-3_46</w:t>
        </w:r>
      </w:hyperlink>
    </w:p>
    <w:p>
      <w:pPr>
        <w:pStyle w:val="Reference"/>
      </w:pPr>
      <w:r>
        <w:t xml:space="preserve">Garvey, A. M., Ventura-Marco, M., &amp; Vidal-Meliá, C. (2021). The importance of reporting a pension system’s income statement and budgeted variances in a fair and sustainable scheme. In M. Corazza, M. Gilli, C. Perna, C. Pizzi, &amp; M. Sibillo (Eds.), Mathematical and statistical methods for actuarial sciences and finance (pp. 275–282). Springer. </w:t>
      </w:r>
      <w:hyperlink r:id="rId27">
        <w:r>
          <w:rPr>
            <w:color w:val="772D3C"/>
            <w:u w:val="single"/>
          </w:rPr>
          <w:t>https://doi.org/10.1007/978-3-030-78965-7_34</w:t>
        </w:r>
      </w:hyperlink>
    </w:p>
    <w:p>
      <w:pPr>
        <w:pStyle w:val="Reference"/>
      </w:pPr>
      <w:r>
        <w:t xml:space="preserve">Vidal-Meliá, C., Boado-Penas, M. del C., &amp; Navarro-Cabo, F. (2016). Notional defined contribution pension schemes: Why does only Sweden distribute the survivor dividend? Journal of Economic Policy Reform, 19(3), 200–220. </w:t>
      </w:r>
      <w:hyperlink r:id="rId28">
        <w:r>
          <w:rPr>
            <w:color w:val="772D3C"/>
            <w:u w:val="single"/>
          </w:rPr>
          <w:t>https://doi.org/10.1080/17487870.2015.1028547</w:t>
        </w:r>
      </w:hyperlink>
    </w:p>
    <w:p>
      <w:pPr>
        <w:pStyle w:val="Reference"/>
      </w:pPr>
      <w:r>
        <w:t xml:space="preserve">Boado-Penas, M. del C., &amp; Vidal-Meliá, C. (2014). Nonfinancial defined contribution pension schemes: Is a survivor dividend necessary to make the system balanced? Applied Economics Letters, 21(4), 242–247. </w:t>
      </w:r>
      <w:hyperlink r:id="rId29">
        <w:r>
          <w:rPr>
            <w:color w:val="772D3C"/>
            <w:u w:val="single"/>
          </w:rPr>
          <w:t>https://doi.org/10.1080/13504851.2013.851767</w:t>
        </w:r>
      </w:hyperlink>
    </w:p>
    <w:p>
      <w:pPr>
        <w:pStyle w:val="Reference"/>
      </w:pPr>
      <w:r>
        <w:t xml:space="preserve">Vidal-Meliá, C. (2013). An assessment of the 2011 Spanish pension reform using the Swedish system as benchmark. Journal of Pension Economics and Finance, 13(3), 297–333. </w:t>
      </w:r>
      <w:hyperlink r:id="rId30">
        <w:r>
          <w:rPr>
            <w:color w:val="772D3C"/>
            <w:u w:val="single"/>
          </w:rPr>
          <w:t>https://doi.org/10.1017/S1474747213000383</w:t>
        </w:r>
      </w:hyperlink>
    </w:p>
    <w:p>
      <w:pPr>
        <w:pStyle w:val="Reference"/>
      </w:pPr>
      <w:r>
        <w:t xml:space="preserve">Vidal-Meliá, C., &amp; Boado-Penas, M. del C. (2013). Compiling the actuarial balance for pay-as-you-go pension systems: Is it better to use the hidden asset or the contribution asset? Applied Economics, 45(10), 1303–1320. </w:t>
      </w:r>
      <w:hyperlink r:id="rId31">
        <w:r>
          <w:rPr>
            <w:color w:val="772D3C"/>
            <w:u w:val="single"/>
          </w:rPr>
          <w:t>https://doi.org/10.1080/00036846.2011.615733</w:t>
        </w:r>
      </w:hyperlink>
    </w:p>
    <w:p>
      <w:pPr>
        <w:pStyle w:val="Reference"/>
      </w:pPr>
      <w:r>
        <w:t xml:space="preserve">Regúlez-Castillo, M., &amp; Vidal-Meliá, C. (2012). Individual information for pension contributions: Recommendations for Spain based on international experiences. International Social Security Review, 65(2), 1–27. </w:t>
      </w:r>
      <w:hyperlink r:id="rId32">
        <w:r>
          <w:rPr>
            <w:color w:val="772D3C"/>
            <w:u w:val="single"/>
          </w:rPr>
          <w:t>https://doi.org/10.1111/j.1468-246X.2012.001426.x</w:t>
        </w:r>
      </w:hyperlink>
    </w:p>
    <w:p>
      <w:pPr>
        <w:pStyle w:val="Reference"/>
      </w:pPr>
      <w:r>
        <w:t xml:space="preserve">Boado-Penas, M. del C., &amp; Vidal-Meliá, C. (2012). The actuarial balance of the pay-as-you-go pension system: The Swedish NDC model versus the US DB model. In R. Holzmann, E. Palmer, &amp; D. Robalino (Eds.), NDC pension schemes in a changing pension world (Vol. 2, pp. 443–489). World Bank. </w:t>
      </w:r>
      <w:hyperlink r:id="rId33">
        <w:r>
          <w:rPr>
            <w:color w:val="772D3C"/>
            <w:u w:val="single"/>
          </w:rPr>
          <w:t>https://doi.org/10.1596/978-0-8213-9478-6</w:t>
        </w:r>
      </w:hyperlink>
    </w:p>
    <w:p>
      <w:pPr>
        <w:pStyle w:val="Heading3"/>
        <w:keepNext/>
      </w:pPr>
      <w:r>
        <w:t>Industry 4.0 impacts sub-line</w:t>
      </w:r>
    </w:p>
    <w:p>
      <w:pPr>
        <w:pStyle w:val="Reference"/>
      </w:pPr>
      <w:r>
        <w:t>Ación López, A., &amp; Vidal-Meliá, C. (2026). Impacts of Industry 4.0 technologies on pension systems: A scoping review. International Social Security Review. Conditionally accepted.</w:t>
      </w:r>
    </w:p>
    <w:p>
      <w:pPr>
        <w:pStyle w:val="Heading2"/>
        <w:keepNext/>
      </w:pPr>
      <w:r>
        <w:t>6. The Continuous Sample of Working Lives (CSWL/MCVL) as a data source (since 2014)</w:t>
      </w:r>
    </w:p>
    <w:p>
      <w:pPr>
        <w:pStyle w:val="BodyText"/>
        <w:spacing w:after="140"/>
      </w:pPr>
      <w:r>
        <w:rPr>
          <w:b/>
        </w:rPr>
        <w:t xml:space="preserve">Description and objectives: </w:t>
      </w:r>
      <w:r>
        <w:t>This line uses administrative microdata for the technical and empirical optimization of Spanish Social Security. Its objectives are to address sample representativeness through non-linear programming that generates accurate subsamples; quantify differential longevity by income level and social-security regime —self-employed versus employees—; and model mortality among vulnerable groups, supporting the valuation of financial commitments and actuarially fair reform of occupational accident and disease rates.</w:t>
      </w:r>
    </w:p>
    <w:p>
      <w:pPr>
        <w:pStyle w:val="BodyText"/>
        <w:spacing w:after="140"/>
      </w:pPr>
      <w:r>
        <w:rPr>
          <w:b/>
        </w:rPr>
        <w:t xml:space="preserve">Researchers and participation: </w:t>
      </w:r>
      <w:r>
        <w:t>Juan Manuel Pérez-Salamero (8/8), Marta Regúlez Castillo (7/8), Vicente Núñez-Antón (2/8), Manuel Ventura-Marco (2/8), Anna Castañer-Garriga (1/8), and Carlos Vidal-Meliá (8/8).</w:t>
      </w:r>
    </w:p>
    <w:p>
      <w:pPr>
        <w:pStyle w:val="BodyText"/>
        <w:spacing w:after="100"/>
      </w:pPr>
      <w:r>
        <w:rPr>
          <w:b/>
        </w:rPr>
        <w:t>Publications and research outputs:</w:t>
      </w:r>
    </w:p>
    <w:p>
      <w:pPr>
        <w:pStyle w:val="Heading3"/>
        <w:keepNext/>
      </w:pPr>
      <w:r>
        <w:t>Longevity and mortality sub-line</w:t>
      </w:r>
    </w:p>
    <w:p>
      <w:pPr>
        <w:pStyle w:val="Reference"/>
      </w:pPr>
      <w:r>
        <w:t xml:space="preserve">Vidal-Meliá, C., Regúlez Castillo, M., &amp; Pérez-Salamero González, J. M. (2025). Income inequalities in longevity among Spanish retirement pensioners aged 65+: A comprehensive analysis from 2008 to 2021. International Social Security Review, 78(4), 53–78. </w:t>
      </w:r>
      <w:hyperlink r:id="rId34">
        <w:r>
          <w:rPr>
            <w:color w:val="772D3C"/>
            <w:u w:val="single"/>
          </w:rPr>
          <w:t>https://doi.org/10.1111/issr.70014</w:t>
        </w:r>
      </w:hyperlink>
    </w:p>
    <w:p>
      <w:pPr>
        <w:pStyle w:val="Reference"/>
      </w:pPr>
      <w:r>
        <w:t xml:space="preserve">Pérez-Salamero González, J. M., Regúlez Castillo, M., Ventura-Marco, M., &amp; Vidal-Meliá, C. (2022). Mortality and life expectancy trends in Spain by pension income level. International Journal for Equity in Health, 21, 96. </w:t>
      </w:r>
      <w:hyperlink r:id="rId35">
        <w:r>
          <w:rPr>
            <w:color w:val="772D3C"/>
            <w:u w:val="single"/>
          </w:rPr>
          <w:t>https://doi.org/10.1186/s12939-022-01697-2</w:t>
        </w:r>
      </w:hyperlink>
    </w:p>
    <w:p>
      <w:pPr>
        <w:pStyle w:val="Reference"/>
      </w:pPr>
      <w:r>
        <w:t xml:space="preserve">Pérez-Salamero González, J. M., Regúlez Castillo, M., &amp; Vidal-Meliá, C. (2021). Differences in life expectancy between self-employed workers and paid employees. European Journal of Population, 37(3), 697–725. </w:t>
      </w:r>
      <w:hyperlink r:id="rId36">
        <w:r>
          <w:rPr>
            <w:color w:val="772D3C"/>
            <w:u w:val="single"/>
          </w:rPr>
          <w:t>https://doi.org/10.1007/s10680-021-09585-1</w:t>
        </w:r>
      </w:hyperlink>
    </w:p>
    <w:p>
      <w:pPr>
        <w:pStyle w:val="Reference"/>
      </w:pPr>
      <w:r>
        <w:t xml:space="preserve">Castañer-Garriga, A., Pérez-Salamero González, J. M., &amp; Vidal-Meliá, C. (2017). Evaluación de las tarifas de las pensiones de Accidentes de Trabajo y Enfermedades Profesionales (2011–2015). Innovar, 27(66), 153–167. </w:t>
      </w:r>
      <w:hyperlink r:id="rId37">
        <w:r>
          <w:rPr>
            <w:color w:val="772D3C"/>
            <w:u w:val="single"/>
          </w:rPr>
          <w:t>https://doi.org/10.15446/innovar.v27n66.66810</w:t>
        </w:r>
      </w:hyperlink>
    </w:p>
    <w:p>
      <w:pPr>
        <w:pStyle w:val="Heading3"/>
        <w:keepNext/>
      </w:pPr>
      <w:r>
        <w:t>Technical aspects sub-line</w:t>
      </w:r>
    </w:p>
    <w:p>
      <w:pPr>
        <w:pStyle w:val="Reference"/>
      </w:pPr>
      <w:r>
        <w:t xml:space="preserve">Núñez-Antón, V., Pérez-Salamero González, J. M., Regúlez-Castillo, M., &amp; Vidal-Meliá, C. (2020). Improving the representativeness of a simple random sample. Mathematics, 8(8), 1225. </w:t>
      </w:r>
      <w:hyperlink r:id="rId38">
        <w:r>
          <w:rPr>
            <w:color w:val="772D3C"/>
            <w:u w:val="single"/>
          </w:rPr>
          <w:t>https://doi.org/10.3390/math8081225</w:t>
        </w:r>
      </w:hyperlink>
    </w:p>
    <w:p>
      <w:pPr>
        <w:pStyle w:val="Reference"/>
      </w:pPr>
      <w:r>
        <w:t xml:space="preserve">Núñez-Antón, V., Pérez-Salamero, J. M., Regúlez-Castillo, M., Ventura-Marco, M., &amp; Vidal-Meliá, C. (2019). Automatic regrouping of strata in the goodness-of-fit chi-square test. SORT, 43(1), 113–142. </w:t>
      </w:r>
      <w:hyperlink r:id="rId39">
        <w:r>
          <w:rPr>
            <w:color w:val="772D3C"/>
            <w:u w:val="single"/>
          </w:rPr>
          <w:t>https://doi.org/10.2436/20.8080.02.83</w:t>
        </w:r>
      </w:hyperlink>
    </w:p>
    <w:p>
      <w:pPr>
        <w:pStyle w:val="Reference"/>
      </w:pPr>
      <w:r>
        <w:t xml:space="preserve">Pérez-Salamero, J. M., Regúlez-Castillo, M., &amp; Vidal-Meliá, C. (2017). The Continuous Sample of Working Lives: Improving its representativeness. SERIEs, 8(1), 43–95. </w:t>
      </w:r>
      <w:hyperlink r:id="rId40">
        <w:r>
          <w:rPr>
            <w:color w:val="772D3C"/>
            <w:u w:val="single"/>
          </w:rPr>
          <w:t>https://doi.org/10.1007/s13209-017-0154-0</w:t>
        </w:r>
      </w:hyperlink>
    </w:p>
    <w:p>
      <w:pPr>
        <w:pStyle w:val="Reference"/>
      </w:pPr>
      <w:r>
        <w:t xml:space="preserve">Pérez-Salamero, J. M., Regúlez-Castillo, M., &amp; Vidal-Meliá, C. (2016). Análisis de la representatividad de la MCVL: El caso de las prestaciones del sistema público de pensiones. Hacienda Pública Española / Review of Public Economics, 217(2), 67–130. </w:t>
      </w:r>
      <w:hyperlink r:id="rId41">
        <w:r>
          <w:rPr>
            <w:color w:val="772D3C"/>
            <w:u w:val="single"/>
          </w:rPr>
          <w:t>https://doi.org/10.7866/HPE-RPE.16.2.3</w:t>
        </w:r>
      </w:hyperlink>
    </w:p>
    <w:p>
      <w:pPr>
        <w:pStyle w:val="Heading2"/>
        <w:keepNext/>
      </w:pPr>
      <w:r>
        <w:t>7. Divorce insurance: Actuarial, social, and legal aspects (since 2024)</w:t>
      </w:r>
    </w:p>
    <w:p>
      <w:pPr>
        <w:pStyle w:val="BodyText"/>
        <w:spacing w:after="140"/>
      </w:pPr>
      <w:r>
        <w:rPr>
          <w:b/>
        </w:rPr>
        <w:t xml:space="preserve">Description and objectives: </w:t>
      </w:r>
      <w:r>
        <w:t>This line investigates the creation of a new insurance market for the risk of marital dissolution. Its objectives are to establish the lawfulness of divorce insurance under European Union and Spanish law; segment risks using machine-learning techniques calibrated for rare events; and propose a sum-insured design that mitigates social externalities such as the risk of poverty among minors and women.</w:t>
      </w:r>
    </w:p>
    <w:p>
      <w:pPr>
        <w:pStyle w:val="BodyText"/>
        <w:spacing w:after="140"/>
      </w:pPr>
      <w:r>
        <w:rPr>
          <w:b/>
        </w:rPr>
        <w:t xml:space="preserve">Researchers and participation: </w:t>
      </w:r>
      <w:r>
        <w:t>Juan Bataller Grau (3/5) and Carlos Vidal-Meliá (5/5).</w:t>
      </w:r>
    </w:p>
    <w:p>
      <w:pPr>
        <w:pStyle w:val="BodyText"/>
        <w:spacing w:after="100"/>
      </w:pPr>
      <w:r>
        <w:rPr>
          <w:b/>
        </w:rPr>
        <w:t>Publications and research outputs:</w:t>
      </w:r>
    </w:p>
    <w:p>
      <w:pPr>
        <w:pStyle w:val="Heading3"/>
        <w:keepNext/>
      </w:pPr>
      <w:r>
        <w:t>Published research</w:t>
      </w:r>
    </w:p>
    <w:p>
      <w:pPr>
        <w:pStyle w:val="Reference"/>
      </w:pPr>
      <w:r>
        <w:t xml:space="preserve">Bataller-Grau, J., &amp; Vidal-Meliá, C. (2026). When fictional imagination meets divorce insurance: Feasibility, safeguards, and family outcomes. Humanities and Social Sciences Communications, 13, Article 1262. </w:t>
      </w:r>
      <w:hyperlink r:id="rId42">
        <w:r>
          <w:rPr>
            <w:color w:val="772D3C"/>
            <w:u w:val="single"/>
          </w:rPr>
          <w:t>https://doi.org/10.1057/s41599-026-07654-6</w:t>
        </w:r>
      </w:hyperlink>
    </w:p>
    <w:p>
      <w:pPr>
        <w:pStyle w:val="Reference"/>
      </w:pPr>
      <w:r>
        <w:t xml:space="preserve">Vidal-Meliá, C. (2026). Divorce insurance: A simulation-based framework for short-term financial protection in marital dissolution. Family Transitions. Advance online publication. </w:t>
      </w:r>
      <w:hyperlink r:id="rId43">
        <w:r>
          <w:rPr>
            <w:color w:val="772D3C"/>
            <w:u w:val="single"/>
          </w:rPr>
          <w:t>https://doi.org/10.1080/28375300.2026.2724728</w:t>
        </w:r>
      </w:hyperlink>
    </w:p>
    <w:p>
      <w:pPr>
        <w:pStyle w:val="Reference"/>
      </w:pPr>
      <w:r>
        <w:t>Bataller Grau, J., &amp; Vidal-Meliá, C. (2026). Lawfulness of divorce insurance in European Union. In P. Marano (Ed.), Research Handbook on EU Insurance Law and Regulation. Edward Elgar. In press.</w:t>
      </w:r>
    </w:p>
    <w:p>
      <w:pPr>
        <w:pStyle w:val="Reference"/>
      </w:pPr>
      <w:r>
        <w:t xml:space="preserve">Bataller Grau, J., &amp; Vidal-Meliá, C. (2025). El seguro de divorcio como seguro de sumas: Una propuesta desde el Derecho español. Revista de Derecho del Sistema Financiero, 10. </w:t>
      </w:r>
      <w:hyperlink r:id="rId44">
        <w:r>
          <w:rPr>
            <w:color w:val="772D3C"/>
            <w:u w:val="single"/>
          </w:rPr>
          <w:t>https://dialnet.unirioja.es/servlet/articulo?codigo=10468587</w:t>
        </w:r>
      </w:hyperlink>
    </w:p>
    <w:p>
      <w:pPr>
        <w:pStyle w:val="Heading3"/>
        <w:keepNext/>
      </w:pPr>
      <w:r>
        <w:t>Work in progress</w:t>
      </w:r>
    </w:p>
    <w:p>
      <w:pPr>
        <w:pStyle w:val="Reference"/>
      </w:pPr>
      <w:r>
        <w:t>Calibrated ML risk segmentation for divorce insurance: Evidence from 10,000 synthetic couples. Work in progress.</w:t>
      </w:r>
    </w:p>
    <w:p>
      <w:pPr>
        <w:pStyle w:val="Heading1"/>
      </w:pPr>
      <w:r>
        <w:t>HISTORICAL RESEARCH LINES</w:t>
      </w:r>
    </w:p>
    <w:p>
      <w:pPr>
        <w:pStyle w:val="Heading2"/>
        <w:keepNext/>
      </w:pPr>
      <w:r>
        <w:t>1. Individual savings-pension alternatives: Pension plans (1993–1999)</w:t>
      </w:r>
    </w:p>
    <w:p>
      <w:pPr>
        <w:pStyle w:val="BodyText"/>
        <w:spacing w:after="140"/>
      </w:pPr>
      <w:r>
        <w:rPr>
          <w:b/>
        </w:rPr>
        <w:t xml:space="preserve">Description and objectives: </w:t>
      </w:r>
      <w:r>
        <w:t>This line focused on the third pillar of social protection and individual retirement contingencies. Its objectives were to conduct formalized savings-pension studies, formulate tax proposals to mitigate the lack of plan liquidity, and define investment strategies based on income profiles and tax brackets.</w:t>
      </w:r>
    </w:p>
    <w:p>
      <w:pPr>
        <w:pStyle w:val="BodyText"/>
        <w:spacing w:after="140"/>
      </w:pPr>
      <w:r>
        <w:rPr>
          <w:b/>
        </w:rPr>
        <w:t xml:space="preserve">Researchers and participation: </w:t>
      </w:r>
      <w:r>
        <w:t>Enrique Devesa Carpio (7/9), María Paz Jordá Durá (2/9), Mar Devesa Carpio (1/9), and Carlos Vidal-Meliá (9/9).</w:t>
      </w:r>
    </w:p>
    <w:p>
      <w:pPr>
        <w:pStyle w:val="BodyText"/>
        <w:spacing w:after="100"/>
      </w:pPr>
      <w:r>
        <w:rPr>
          <w:b/>
        </w:rPr>
        <w:t>Publications and research outputs:</w:t>
      </w:r>
    </w:p>
    <w:p>
      <w:pPr>
        <w:pStyle w:val="Heading3"/>
        <w:keepNext/>
      </w:pPr>
      <w:r>
        <w:t>Featured publications</w:t>
      </w:r>
    </w:p>
    <w:p>
      <w:pPr>
        <w:pStyle w:val="Reference"/>
      </w:pPr>
      <w:r>
        <w:t>Devesa Carpio, J. E., &amp; Vidal-Meliá, C. (1999). Planes de pensiones individuales y sobreimposición. Revista Europea de Dirección y Economía de la Empresa, 8(4), 135–148.</w:t>
      </w:r>
    </w:p>
    <w:p>
      <w:pPr>
        <w:pStyle w:val="Reference"/>
      </w:pPr>
      <w:r>
        <w:t>Devesa, J. E., &amp; Vidal-Meliá, C. (1997). Estrategias individuales de ahorro-pensión y perfiles de ingresos. Revista Española de Financiación y Contabilidad, 26(90), 167–195.</w:t>
      </w:r>
    </w:p>
    <w:p>
      <w:pPr>
        <w:pStyle w:val="Heading2"/>
        <w:keepNext/>
      </w:pPr>
      <w:r>
        <w:t>2. Notional defined contribution accounts and other aspects of PAYG systems (1999–2007)</w:t>
      </w:r>
    </w:p>
    <w:p>
      <w:pPr>
        <w:pStyle w:val="BodyText"/>
        <w:spacing w:after="140"/>
      </w:pPr>
      <w:r>
        <w:rPr>
          <w:b/>
        </w:rPr>
        <w:t xml:space="preserve">Description and objectives: </w:t>
      </w:r>
      <w:r>
        <w:t>This line developed the actuarial foundations of notional defined contribution (NDC) accounts, examined the sustainability of international PAYG systems, modelled the transition from DB to NDC, and quantified the subjective economic risk faced by beneficiaries.</w:t>
      </w:r>
    </w:p>
    <w:p>
      <w:pPr>
        <w:pStyle w:val="BodyText"/>
        <w:spacing w:after="140"/>
      </w:pPr>
      <w:r>
        <w:rPr>
          <w:b/>
        </w:rPr>
        <w:t xml:space="preserve">Researchers and participation: </w:t>
      </w:r>
      <w:r>
        <w:t>Inmaculada Domínguez Fabián (9/12), María del Carmen Boado-Penas (5/12), Enrique Devesa Carpio (4/12), Ana Lejárraga-García (2/12), Salvador Valdés-Prieto (1/12), and Carlos Vidal-Meliá (12/12).</w:t>
      </w:r>
    </w:p>
    <w:p>
      <w:pPr>
        <w:pStyle w:val="BodyText"/>
        <w:spacing w:after="100"/>
      </w:pPr>
      <w:r>
        <w:rPr>
          <w:b/>
        </w:rPr>
        <w:t>Publications and research outputs:</w:t>
      </w:r>
    </w:p>
    <w:p>
      <w:pPr>
        <w:pStyle w:val="Heading3"/>
        <w:keepNext/>
      </w:pPr>
      <w:r>
        <w:t>Featured publications</w:t>
      </w:r>
    </w:p>
    <w:p>
      <w:pPr>
        <w:pStyle w:val="Reference"/>
      </w:pPr>
      <w:r>
        <w:t xml:space="preserve">Vidal-Meliá, C., Domínguez-Fabián, I., &amp; Devesa-Carpio, J. E. (2006). Subjective economic risk to beneficiaries in notional defined contribution accounts (NDCs). Journal of Risk and Insurance, 73(3), 489–515. </w:t>
      </w:r>
      <w:hyperlink r:id="rId45">
        <w:r>
          <w:rPr>
            <w:color w:val="772D3C"/>
            <w:u w:val="single"/>
          </w:rPr>
          <w:t>https://doi.org/10.1111/j.1539-6975.2006.00185.x</w:t>
        </w:r>
      </w:hyperlink>
    </w:p>
    <w:p>
      <w:pPr>
        <w:pStyle w:val="Reference"/>
      </w:pPr>
      <w:r>
        <w:t>Devesa-Carpio, J. E., &amp; Vidal-Meliá, C. (2004). Cuentas nocionales de aportación definida (NDCs): ¿Cuál hubiera sido el efecto de su implantación en España? Moneda y Crédito, 219, 101–142.</w:t>
      </w:r>
    </w:p>
    <w:p>
      <w:pPr>
        <w:pStyle w:val="Heading2"/>
        <w:keepNext/>
      </w:pPr>
      <w:r>
        <w:t>3. Pension modalities in funded systems (2000–2006)</w:t>
      </w:r>
    </w:p>
    <w:p>
      <w:pPr>
        <w:pStyle w:val="BodyText"/>
        <w:spacing w:after="140"/>
      </w:pPr>
      <w:r>
        <w:rPr>
          <w:b/>
        </w:rPr>
        <w:t xml:space="preserve">Description and objectives: </w:t>
      </w:r>
      <w:r>
        <w:t>This line sought to clarify the annuity puzzle by modelling the bequest motive. It also assessed administrative costs in individual funded systems and the regulation of pension modalities in Latin America.</w:t>
      </w:r>
    </w:p>
    <w:p>
      <w:pPr>
        <w:pStyle w:val="BodyText"/>
        <w:spacing w:after="140"/>
      </w:pPr>
      <w:r>
        <w:rPr>
          <w:b/>
        </w:rPr>
        <w:t xml:space="preserve">Researchers and participation: </w:t>
      </w:r>
      <w:r>
        <w:t>Enrique Devesa Carpio (5/7), Ana Lejárraga-García (5/7), Rosa Rodríguez Barrera (1/7), and Carlos Vidal-Meliá (7/7).</w:t>
      </w:r>
    </w:p>
    <w:p>
      <w:pPr>
        <w:pStyle w:val="BodyText"/>
        <w:spacing w:after="100"/>
      </w:pPr>
      <w:r>
        <w:rPr>
          <w:b/>
        </w:rPr>
        <w:t>Publications and research outputs:</w:t>
      </w:r>
    </w:p>
    <w:p>
      <w:pPr>
        <w:pStyle w:val="Heading3"/>
        <w:keepNext/>
      </w:pPr>
      <w:r>
        <w:t>Featured publications</w:t>
      </w:r>
    </w:p>
    <w:p>
      <w:pPr>
        <w:pStyle w:val="Reference"/>
      </w:pPr>
      <w:r>
        <w:t xml:space="preserve">Vidal-Meliá, C., &amp; Lejárraga-García, A. (2006). Demand for life annuities from married couples with a bequest motive. Journal of Pension Economics and Finance, 5(2), 197–229. </w:t>
      </w:r>
      <w:hyperlink r:id="rId46">
        <w:r>
          <w:rPr>
            <w:color w:val="772D3C"/>
            <w:u w:val="single"/>
          </w:rPr>
          <w:t>https://doi.org/10.1017/S1474747205002349</w:t>
        </w:r>
      </w:hyperlink>
    </w:p>
    <w:p>
      <w:pPr>
        <w:pStyle w:val="Reference"/>
      </w:pPr>
      <w:r>
        <w:t>Lejárraga-García, A., Vidal-Meliá, C., &amp; Devesa-Carpio, J. E. (2002). Regulación de las modalidades de pensión en los sistemas de capitalización de América Latina. Revista de Análisis Económico, 17(2), 49–94.</w:t>
      </w:r>
    </w:p>
    <w:p>
      <w:pPr>
        <w:pStyle w:val="Heading2"/>
        <w:keepNext/>
      </w:pPr>
      <w:r>
        <w:t>4. Instruments to improve the PAYG system (2008–2016)</w:t>
      </w:r>
    </w:p>
    <w:p>
      <w:pPr>
        <w:pStyle w:val="BodyText"/>
        <w:spacing w:after="140"/>
      </w:pPr>
      <w:r>
        <w:rPr>
          <w:b/>
        </w:rPr>
        <w:t xml:space="preserve">Description and objectives: </w:t>
      </w:r>
      <w:r>
        <w:t>This line focused on transparency and solvency tools for public pensions. Its objectives were to demonstrate the usefulness of actuarial balance sheets as solvency indicators and to design automatic balancing mechanisms inspired by the Swedish model.</w:t>
      </w:r>
    </w:p>
    <w:p>
      <w:pPr>
        <w:pStyle w:val="BodyText"/>
        <w:spacing w:after="140"/>
      </w:pPr>
      <w:r>
        <w:rPr>
          <w:b/>
        </w:rPr>
        <w:t xml:space="preserve">Researchers and participation: </w:t>
      </w:r>
      <w:r>
        <w:t>María del Carmen Boado-Penas (10/17), Marta Regúlez Castillo (5/17), Ole Settergren (4/17), Manuel García García (2/17), Salvador Valdés-Prieto (1/17), Francisco Navarro-Cabo (1/17), and Carlos Vidal-Meliá (17/17).</w:t>
      </w:r>
    </w:p>
    <w:p>
      <w:pPr>
        <w:pStyle w:val="BodyText"/>
        <w:spacing w:after="100"/>
      </w:pPr>
      <w:r>
        <w:rPr>
          <w:b/>
        </w:rPr>
        <w:t>Publications and research outputs:</w:t>
      </w:r>
    </w:p>
    <w:p>
      <w:pPr>
        <w:pStyle w:val="Heading3"/>
        <w:keepNext/>
      </w:pPr>
      <w:r>
        <w:t>Featured publications</w:t>
      </w:r>
    </w:p>
    <w:p>
      <w:pPr>
        <w:pStyle w:val="Reference"/>
      </w:pPr>
      <w:r>
        <w:t xml:space="preserve">Vidal-Meliá, C., Boado-Penas, M. C., &amp; Settergren, O. (2009). Automatic balance mechanisms in pay-as-you-go pension systems. The Geneva Papers on Risk and Insurance – Issues and Practice, 34(2), 287–317. </w:t>
      </w:r>
      <w:hyperlink r:id="rId47">
        <w:r>
          <w:rPr>
            <w:color w:val="772D3C"/>
            <w:u w:val="single"/>
          </w:rPr>
          <w:t>https://doi.org/10.1057/gpp.2009.2</w:t>
        </w:r>
      </w:hyperlink>
    </w:p>
    <w:p>
      <w:pPr>
        <w:pStyle w:val="Reference"/>
      </w:pPr>
      <w:r>
        <w:t xml:space="preserve">Boado-Penas, M. C., Valdés-Prieto, S., &amp; Vidal-Meliá, C. (2008). An actuarial balance sheet for pay-as-you-go finance: Solvency indicators for Spain and Sweden. Fiscal Studies, 29(1), 89–134. </w:t>
      </w:r>
      <w:hyperlink r:id="rId48">
        <w:r>
          <w:rPr>
            <w:color w:val="772D3C"/>
            <w:u w:val="single"/>
          </w:rPr>
          <w:t>https://doi.org/10.1111/j.1475-5890.2008.00070.x</w:t>
        </w:r>
      </w:hyperlink>
    </w:p>
    <w:p>
      <w:pPr>
        <w:pStyle w:val="Heading1"/>
        <w:pageBreakBefore/>
        <w:spacing w:after="80"/>
      </w:pPr>
      <w:r>
        <w:t>VALENCIÀ · NORMES D’EL PUIG RACV</w:t>
      </w:r>
    </w:p>
    <w:p>
      <w:pPr>
        <w:pStyle w:val="Subtitle"/>
        <w:spacing w:after="360"/>
      </w:pPr>
      <w:r>
        <w:t>Actualisat a 12 d’octubre de 2026</w:t>
      </w:r>
    </w:p>
    <w:p>
      <w:pPr>
        <w:pStyle w:val="Heading1"/>
      </w:pPr>
      <w:r>
        <w:t>LLÍNEES D’INVESTIGACIÓ EN VIGOR</w:t>
      </w:r>
    </w:p>
    <w:p>
      <w:pPr>
        <w:pStyle w:val="Heading2"/>
        <w:keepNext/>
      </w:pPr>
      <w:r>
        <w:t>5. Instruments per a millorar el sistema de repartiment 2.0: Pensions mínimes, invalidesa i dependència (des de 2012)</w:t>
      </w:r>
    </w:p>
    <w:p>
      <w:pPr>
        <w:pStyle w:val="BodyText"/>
        <w:spacing w:after="140"/>
      </w:pPr>
      <w:r>
        <w:rPr>
          <w:b/>
        </w:rPr>
        <w:t xml:space="preserve">Breu descripció i objectius: </w:t>
      </w:r>
      <w:r>
        <w:t>Esta llínea amplía la metodologia de l’anàlisis actuarial cap a un enfocament de grup obert en devengo i integra riscs biomètrics complexos. Els seus objectius són dissenyar sistemes de contes nocionals (NDC) que absorbixquen la volatilitat de les contingències d’invalidesa i dependència; desenrollar balanços actuarials integrats que revelen el cost real de la redistribució i les pensions mínimes; i evaluar l’impacte de l’Indústria 4.0 en la sostenibilitat financera, proposant mecanismes d’ajust davant de l’automatisació del mercat laboral.</w:t>
      </w:r>
    </w:p>
    <w:p>
      <w:pPr>
        <w:pStyle w:val="BodyText"/>
        <w:spacing w:after="140"/>
      </w:pPr>
      <w:r>
        <w:rPr>
          <w:b/>
        </w:rPr>
        <w:t xml:space="preserve">Investigadors i participació: </w:t>
      </w:r>
      <w:r>
        <w:t>Manuel Ventura-Marco (11/25), Juan Manuel Pérez-Salamero (6/25), Anne Marie Garvey (6/25), María del Carmen Boado-Penas (5/25), Javier Pla-Porcel (4/25), Ahmed Ación López (4/25), Marta Regúlez Castillo (1/25), Francisco Navarro-Cabo (1/25), Anna Castañer (1/25) i Carlos Vidal-Meliá (25/25).</w:t>
      </w:r>
    </w:p>
    <w:p>
      <w:pPr>
        <w:pStyle w:val="BodyText"/>
        <w:spacing w:after="100"/>
      </w:pPr>
      <w:r>
        <w:rPr>
          <w:b/>
        </w:rPr>
        <w:t>Publicacions i resultats d’investigació:</w:t>
      </w:r>
    </w:p>
    <w:p>
      <w:pPr>
        <w:pStyle w:val="Heading3"/>
        <w:keepNext/>
      </w:pPr>
      <w:r>
        <w:t>Sublínea d’invalidesa</w:t>
      </w:r>
    </w:p>
    <w:p>
      <w:pPr>
        <w:pStyle w:val="Reference"/>
      </w:pPr>
      <w:r>
        <w:t>Vidal-Meliá, C., &amp; Ación López, A. (2026). High ex post actuarial returns, modest benefits? Disability grade, sex and age at award in Spanish permanent-disability pensions, 2015–2023. Economies. In press.</w:t>
      </w:r>
    </w:p>
    <w:p>
      <w:pPr>
        <w:pStyle w:val="Reference"/>
      </w:pPr>
      <w:r>
        <w:t xml:space="preserve">Garvey, A. M., Ventura-Marco, M., &amp; Vidal-Meliá, C. (2021). Does the pension system’s income statement really matter? A proposal for an NDC scheme with disability and minimum pension benefits. Economic Research–Ekonomska Istraživanja, 34(1), 292–310. </w:t>
      </w:r>
      <w:hyperlink r:id="rId11">
        <w:r>
          <w:rPr>
            <w:color w:val="772D3C"/>
            <w:u w:val="single"/>
          </w:rPr>
          <w:t>https://doi.org/10.1080/1331677X.2020.1782246</w:t>
        </w:r>
      </w:hyperlink>
    </w:p>
    <w:p>
      <w:pPr>
        <w:pStyle w:val="Reference"/>
      </w:pPr>
      <w:r>
        <w:t xml:space="preserve">Pérez-Salamero, J. M., Ventura-Marco, M., &amp; Vidal-Meliá, C. (2017). A ‘Swedish’ actuarial balance for a notional defined contribution pension scheme with disability and minimum pension benefits. International Social Security Review, 70(3), 79–104. </w:t>
      </w:r>
      <w:hyperlink r:id="rId12">
        <w:r>
          <w:rPr>
            <w:color w:val="772D3C"/>
            <w:u w:val="single"/>
          </w:rPr>
          <w:t>https://doi.org/10.1111/issr.12143</w:t>
        </w:r>
      </w:hyperlink>
    </w:p>
    <w:p>
      <w:pPr>
        <w:pStyle w:val="Reference"/>
      </w:pPr>
      <w:r>
        <w:t xml:space="preserve">Ventura-Marco, M., &amp; Vidal-Meliá, C. (2016). Integrating retirement and permanent disability in NDC pension schemes. Applied Economics, 48(12), 1081–1102. </w:t>
      </w:r>
      <w:hyperlink r:id="rId13">
        <w:r>
          <w:rPr>
            <w:color w:val="772D3C"/>
            <w:u w:val="single"/>
          </w:rPr>
          <w:t>https://doi.org/10.1080/00036846.2015.1093084</w:t>
        </w:r>
      </w:hyperlink>
    </w:p>
    <w:p>
      <w:pPr>
        <w:pStyle w:val="Reference"/>
      </w:pPr>
      <w:r>
        <w:t xml:space="preserve">Ventura-Marco, M., &amp; Vidal-Meliá, C. (2014). An actuarial balance sheet model for defined benefit pay-as-you-go pension systems with disability and retirement contingencies. ASTIN Bulletin, 44(2), 367–415. </w:t>
      </w:r>
      <w:hyperlink r:id="rId14">
        <w:r>
          <w:rPr>
            <w:color w:val="772D3C"/>
            <w:u w:val="single"/>
          </w:rPr>
          <w:t>https://doi.org/10.1017/asb.2014.5</w:t>
        </w:r>
      </w:hyperlink>
    </w:p>
    <w:p>
      <w:pPr>
        <w:pStyle w:val="Heading3"/>
        <w:keepNext/>
      </w:pPr>
      <w:r>
        <w:t>Sublínea de dependència</w:t>
      </w:r>
    </w:p>
    <w:p>
      <w:pPr>
        <w:pStyle w:val="Reference"/>
      </w:pPr>
      <w:r>
        <w:t xml:space="preserve">Vidal-Meliá, C., Ventura-Marco, M., &amp; Garvey, A. (2024). Analyzing the demographic coherence of selected US, Australian and Chinese biometric data sets. Quality &amp; Quantity, 58, 2813–2836. </w:t>
      </w:r>
      <w:hyperlink r:id="rId15">
        <w:r>
          <w:rPr>
            <w:color w:val="772D3C"/>
            <w:u w:val="single"/>
          </w:rPr>
          <w:t>https://doi.org/10.1007/s11135-023-01782-w</w:t>
        </w:r>
      </w:hyperlink>
    </w:p>
    <w:p>
      <w:pPr>
        <w:pStyle w:val="Reference"/>
      </w:pPr>
      <w:r>
        <w:t xml:space="preserve">Ventura-Marco, M., Vidal-Meliá, C., &amp; Pérez-Salamero González, J. M. (2023). Joint life care annuities to help retired couples to finance the cost of long-term care. Insurance: Mathematics and Economics, 113, 122–139. </w:t>
      </w:r>
      <w:hyperlink r:id="rId16">
        <w:r>
          <w:rPr>
            <w:color w:val="772D3C"/>
            <w:u w:val="single"/>
          </w:rPr>
          <w:t>https://doi.org/10.1016/j.insmatheco.2023.08.002</w:t>
        </w:r>
      </w:hyperlink>
    </w:p>
    <w:p>
      <w:pPr>
        <w:pStyle w:val="Reference"/>
      </w:pPr>
      <w:r>
        <w:t xml:space="preserve">Vidal-Meliá, C., Ventura-Marco, M., &amp; Pla-Porcel, J. (2020). An NDC approach to helping pensioners cope with the cost of long-term care. Journal of Pension Economics and Finance, 19(1), 80–108. </w:t>
      </w:r>
      <w:hyperlink r:id="rId17">
        <w:r>
          <w:rPr>
            <w:color w:val="772D3C"/>
            <w:u w:val="single"/>
          </w:rPr>
          <w:t>https://doi.org/10.1017/S1474747218000070</w:t>
        </w:r>
      </w:hyperlink>
    </w:p>
    <w:p>
      <w:pPr>
        <w:pStyle w:val="Reference"/>
      </w:pPr>
      <w:r>
        <w:t xml:space="preserve">Vidal-Meliá, C., Ventura-Marco, M., &amp; Pla-Porcel, J. (2019). Unisex life care annuities embedded in a pay-as-you-go pension system. Journal of Population Ageing, 12(4), 405–426. </w:t>
      </w:r>
      <w:hyperlink r:id="rId18">
        <w:r>
          <w:rPr>
            <w:color w:val="772D3C"/>
            <w:u w:val="single"/>
          </w:rPr>
          <w:t>https://doi.org/10.1007/s12062-018-9229-3</w:t>
        </w:r>
      </w:hyperlink>
    </w:p>
    <w:p>
      <w:pPr>
        <w:pStyle w:val="Reference"/>
      </w:pPr>
      <w:r>
        <w:t xml:space="preserve">Vidal-Meliá, C., Ventura-Marco, M., &amp; Pérez-Salamero, J. M. (2018). Social insurance accounting for a notional defined contribution scheme combining retirement and long-term care benefits. Sustainability, 10(8), 2832. </w:t>
      </w:r>
      <w:hyperlink r:id="rId19">
        <w:r>
          <w:rPr>
            <w:color w:val="772D3C"/>
            <w:u w:val="single"/>
          </w:rPr>
          <w:t>https://doi.org/10.3390/su10082832</w:t>
        </w:r>
      </w:hyperlink>
    </w:p>
    <w:p>
      <w:pPr>
        <w:pStyle w:val="Reference"/>
      </w:pPr>
      <w:r>
        <w:t xml:space="preserve">Pla-Porcel, J., Ventura-Marco, M., &amp; Vidal-Meliá, C. (2017). Converting retirement benefit into a life care annuity with graded benefits. Scandinavian Actuarial Journal, 2017(10), 829–853. </w:t>
      </w:r>
      <w:hyperlink r:id="rId20">
        <w:r>
          <w:rPr>
            <w:color w:val="772D3C"/>
            <w:u w:val="single"/>
          </w:rPr>
          <w:t>https://doi.org/10.1080/03461238.2016.1258370</w:t>
        </w:r>
      </w:hyperlink>
    </w:p>
    <w:p>
      <w:pPr>
        <w:pStyle w:val="Reference"/>
      </w:pPr>
      <w:r>
        <w:t xml:space="preserve">Pla-Porcel, J., Ventura-Marco, M., &amp; Vidal-Meliá, C. (2016). Life care annuities (LCA) embedded in a notional defined contribution (NDC) framework. ASTIN Bulletin, 46(2), 331–363. </w:t>
      </w:r>
      <w:hyperlink r:id="rId21">
        <w:r>
          <w:rPr>
            <w:color w:val="772D3C"/>
            <w:u w:val="single"/>
          </w:rPr>
          <w:t>https://doi.org/10.1017/asb.2015.27</w:t>
        </w:r>
      </w:hyperlink>
    </w:p>
    <w:p>
      <w:pPr>
        <w:pStyle w:val="Heading3"/>
        <w:keepNext/>
      </w:pPr>
      <w:r>
        <w:t>Sublínea de contes nocionals i balanços actuarials</w:t>
      </w:r>
    </w:p>
    <w:p>
      <w:pPr>
        <w:pStyle w:val="Reference"/>
      </w:pPr>
      <w:r>
        <w:t xml:space="preserve">Ación López, A., &amp; Vidal-Meliá, C. (2026a). Delayed-retirement incentives in Spain: Evaluating lump-sum commutation and actuarial fairness (Estudios sobre la Economía Española, 2026/25). Fundación de Estudios de Economía Aplicada. </w:t>
      </w:r>
      <w:hyperlink r:id="rId22">
        <w:r>
          <w:rPr>
            <w:color w:val="772D3C"/>
            <w:u w:val="single"/>
          </w:rPr>
          <w:t>https://documentos.fedea.net/pubs/eee/2026/eee2026-25.pdf</w:t>
        </w:r>
      </w:hyperlink>
    </w:p>
    <w:p>
      <w:pPr>
        <w:pStyle w:val="Reference"/>
      </w:pPr>
      <w:r>
        <w:t xml:space="preserve">Ación López, A., &amp; Vidal-Meliá, C. (2026b). NDC benchmarking of Spanish pensions: Disability, survivor reversibility and hidden redistribution (Estudios sobre la Economía Española, 2026/29). Fundación de Estudios de Economía Aplicada. </w:t>
      </w:r>
      <w:hyperlink r:id="rId23">
        <w:r>
          <w:rPr>
            <w:color w:val="772D3C"/>
            <w:u w:val="single"/>
          </w:rPr>
          <w:t>https://documentos.fedea.net/pubs/eee/2026/eee2026-29.pdf</w:t>
        </w:r>
      </w:hyperlink>
    </w:p>
    <w:p>
      <w:pPr>
        <w:pStyle w:val="Reference"/>
      </w:pPr>
      <w:r>
        <w:t xml:space="preserve">Castañer, A., Garvey, A. M., Pérez-Salamero González, J. M., &amp; Vidal-Meliá, C. (2025). Transforming Eurostat’s Table 29 into an actuarial balance sheet. Journal of Risk and Financial Management, 18(9), 528. </w:t>
      </w:r>
      <w:hyperlink r:id="rId24">
        <w:r>
          <w:rPr>
            <w:color w:val="772D3C"/>
            <w:u w:val="single"/>
          </w:rPr>
          <w:t>https://doi.org/10.3390/jrfm18090528</w:t>
        </w:r>
      </w:hyperlink>
    </w:p>
    <w:p>
      <w:pPr>
        <w:pStyle w:val="Reference"/>
      </w:pPr>
      <w:r>
        <w:t xml:space="preserve">Garvey, A., Pérez-Salamero González, J. M., Ventura-Marco, M., &amp; Vidal-Meliá, C. (2023). Transforming the supplementary table on pension liabilities (Table 29) into an actuarial balance sheet. Public Money &amp; Management, 43(8), 782–793. </w:t>
      </w:r>
      <w:hyperlink r:id="rId25">
        <w:r>
          <w:rPr>
            <w:color w:val="772D3C"/>
            <w:u w:val="single"/>
          </w:rPr>
          <w:t>https://doi.org/10.1080/09540962.2022.2144362</w:t>
        </w:r>
      </w:hyperlink>
    </w:p>
    <w:p>
      <w:pPr>
        <w:pStyle w:val="Reference"/>
      </w:pPr>
      <w:r>
        <w:t xml:space="preserve">Garvey, A. M., Pérez-Salamero González, J. M., Ventura-Marco, M., &amp; Vidal-Meliá, C. (2022). Improving decision-making information: ‘Table 29’ to an actuarial balance sheet. In M. Corazza, C. Perna, C. Pizzi, &amp; M. Sibillo (Eds.), Mathematical and statistical methods for actuarial sciences and finance (pp. 477–484). Springer. </w:t>
      </w:r>
      <w:hyperlink r:id="rId26">
        <w:r>
          <w:rPr>
            <w:color w:val="772D3C"/>
            <w:u w:val="single"/>
          </w:rPr>
          <w:t>https://doi.org/10.1007/978-3-030-99638-3_46</w:t>
        </w:r>
      </w:hyperlink>
    </w:p>
    <w:p>
      <w:pPr>
        <w:pStyle w:val="Reference"/>
      </w:pPr>
      <w:r>
        <w:t xml:space="preserve">Garvey, A. M., Ventura-Marco, M., &amp; Vidal-Meliá, C. (2021). The importance of reporting a pension system’s income statement and budgeted variances in a fair and sustainable scheme. In M. Corazza, M. Gilli, C. Perna, C. Pizzi, &amp; M. Sibillo (Eds.), Mathematical and statistical methods for actuarial sciences and finance (pp. 275–282). Springer. </w:t>
      </w:r>
      <w:hyperlink r:id="rId27">
        <w:r>
          <w:rPr>
            <w:color w:val="772D3C"/>
            <w:u w:val="single"/>
          </w:rPr>
          <w:t>https://doi.org/10.1007/978-3-030-78965-7_34</w:t>
        </w:r>
      </w:hyperlink>
    </w:p>
    <w:p>
      <w:pPr>
        <w:pStyle w:val="Reference"/>
      </w:pPr>
      <w:r>
        <w:t xml:space="preserve">Vidal-Meliá, C., Boado-Penas, M. del C., &amp; Navarro-Cabo, F. (2016). Notional defined contribution pension schemes: Why does only Sweden distribute the survivor dividend? Journal of Economic Policy Reform, 19(3), 200–220. </w:t>
      </w:r>
      <w:hyperlink r:id="rId28">
        <w:r>
          <w:rPr>
            <w:color w:val="772D3C"/>
            <w:u w:val="single"/>
          </w:rPr>
          <w:t>https://doi.org/10.1080/17487870.2015.1028547</w:t>
        </w:r>
      </w:hyperlink>
    </w:p>
    <w:p>
      <w:pPr>
        <w:pStyle w:val="Reference"/>
      </w:pPr>
      <w:r>
        <w:t xml:space="preserve">Boado-Penas, M. del C., &amp; Vidal-Meliá, C. (2014). Nonfinancial defined contribution pension schemes: Is a survivor dividend necessary to make the system balanced? Applied Economics Letters, 21(4), 242–247. </w:t>
      </w:r>
      <w:hyperlink r:id="rId29">
        <w:r>
          <w:rPr>
            <w:color w:val="772D3C"/>
            <w:u w:val="single"/>
          </w:rPr>
          <w:t>https://doi.org/10.1080/13504851.2013.851767</w:t>
        </w:r>
      </w:hyperlink>
    </w:p>
    <w:p>
      <w:pPr>
        <w:pStyle w:val="Reference"/>
      </w:pPr>
      <w:r>
        <w:t xml:space="preserve">Vidal-Meliá, C. (2013). An assessment of the 2011 Spanish pension reform using the Swedish system as benchmark. Journal of Pension Economics and Finance, 13(3), 297–333. </w:t>
      </w:r>
      <w:hyperlink r:id="rId30">
        <w:r>
          <w:rPr>
            <w:color w:val="772D3C"/>
            <w:u w:val="single"/>
          </w:rPr>
          <w:t>https://doi.org/10.1017/S1474747213000383</w:t>
        </w:r>
      </w:hyperlink>
    </w:p>
    <w:p>
      <w:pPr>
        <w:pStyle w:val="Reference"/>
      </w:pPr>
      <w:r>
        <w:t xml:space="preserve">Vidal-Meliá, C., &amp; Boado-Penas, M. del C. (2013). Compiling the actuarial balance for pay-as-you-go pension systems: Is it better to use the hidden asset or the contribution asset? Applied Economics, 45(10), 1303–1320. </w:t>
      </w:r>
      <w:hyperlink r:id="rId31">
        <w:r>
          <w:rPr>
            <w:color w:val="772D3C"/>
            <w:u w:val="single"/>
          </w:rPr>
          <w:t>https://doi.org/10.1080/00036846.2011.615733</w:t>
        </w:r>
      </w:hyperlink>
    </w:p>
    <w:p>
      <w:pPr>
        <w:pStyle w:val="Reference"/>
      </w:pPr>
      <w:r>
        <w:t xml:space="preserve">Regúlez-Castillo, M., &amp; Vidal-Meliá, C. (2012). Individual information for pension contributions: Recommendations for Spain based on international experiences. International Social Security Review, 65(2), 1–27. </w:t>
      </w:r>
      <w:hyperlink r:id="rId32">
        <w:r>
          <w:rPr>
            <w:color w:val="772D3C"/>
            <w:u w:val="single"/>
          </w:rPr>
          <w:t>https://doi.org/10.1111/j.1468-246X.2012.001426.x</w:t>
        </w:r>
      </w:hyperlink>
    </w:p>
    <w:p>
      <w:pPr>
        <w:pStyle w:val="Reference"/>
      </w:pPr>
      <w:r>
        <w:t xml:space="preserve">Boado-Penas, M. del C., &amp; Vidal-Meliá, C. (2012). The actuarial balance of the pay-as-you-go pension system: The Swedish NDC model versus the US DB model. In R. Holzmann, E. Palmer, &amp; D. Robalino (Eds.), NDC pension schemes in a changing pension world (Vol. 2, pp. 443–489). World Bank. </w:t>
      </w:r>
      <w:hyperlink r:id="rId33">
        <w:r>
          <w:rPr>
            <w:color w:val="772D3C"/>
            <w:u w:val="single"/>
          </w:rPr>
          <w:t>https://doi.org/10.1596/978-0-8213-9478-6</w:t>
        </w:r>
      </w:hyperlink>
    </w:p>
    <w:p>
      <w:pPr>
        <w:pStyle w:val="Heading3"/>
        <w:keepNext/>
      </w:pPr>
      <w:r>
        <w:t>Sublínea d’impacte de l’Indústria 4.0</w:t>
      </w:r>
    </w:p>
    <w:p>
      <w:pPr>
        <w:pStyle w:val="Reference"/>
      </w:pPr>
      <w:r>
        <w:t>Ación López, A., &amp; Vidal-Meliá, C. (2026). Impacts of Industry 4.0 technologies on pension systems: A scoping review. International Social Security Review. Conditionally accepted.</w:t>
      </w:r>
    </w:p>
    <w:p>
      <w:pPr>
        <w:pStyle w:val="Heading2"/>
        <w:keepNext/>
      </w:pPr>
      <w:r>
        <w:t>6. La Mostra Contínua de Vides Laborals (MCVL) com a font de senyes (des de 2014)</w:t>
      </w:r>
    </w:p>
    <w:p>
      <w:pPr>
        <w:pStyle w:val="BodyText"/>
        <w:spacing w:after="140"/>
      </w:pPr>
      <w:r>
        <w:rPr>
          <w:b/>
        </w:rPr>
        <w:t xml:space="preserve">Breu descripció i objectius: </w:t>
      </w:r>
      <w:r>
        <w:t>Esta llínea utilisa microdades administratives per a l’optimisació tècnica i empírica de la Seguritat Social espanyola. Els seus objectius són resoldre la falta de representativitat mostral per mig de programació no llineal que genere submostres precises; quantificar la longevitat diferencial per nivell de renda i règim —autònoms front a assalariats—; i modelisar la mortalitat de colectius vulnerables, permetent valorar compromisos financers i reformar les tarifes d’accidents de treball i malalties professionals en criteris actuarialment justs.</w:t>
      </w:r>
    </w:p>
    <w:p>
      <w:pPr>
        <w:pStyle w:val="BodyText"/>
        <w:spacing w:after="140"/>
      </w:pPr>
      <w:r>
        <w:rPr>
          <w:b/>
        </w:rPr>
        <w:t xml:space="preserve">Investigadors i participació: </w:t>
      </w:r>
      <w:r>
        <w:t>Juan Manuel Pérez-Salamero (8/8), Marta Regúlez Castillo (7/8), Vicente Núñez-Antón (2/8), Manuel Ventura-Marco (2/8), Anna Castañer-Garriga (1/8) i Carlos Vidal-Meliá (8/8).</w:t>
      </w:r>
    </w:p>
    <w:p>
      <w:pPr>
        <w:pStyle w:val="BodyText"/>
        <w:spacing w:after="100"/>
      </w:pPr>
      <w:r>
        <w:rPr>
          <w:b/>
        </w:rPr>
        <w:t>Publicacions i resultats d’investigació:</w:t>
      </w:r>
    </w:p>
    <w:p>
      <w:pPr>
        <w:pStyle w:val="Heading3"/>
        <w:keepNext/>
      </w:pPr>
      <w:r>
        <w:t>Sublínea de longevitat i mortalitat</w:t>
      </w:r>
    </w:p>
    <w:p>
      <w:pPr>
        <w:pStyle w:val="Reference"/>
      </w:pPr>
      <w:r>
        <w:t xml:space="preserve">Vidal-Meliá, C., Regúlez Castillo, M., &amp; Pérez-Salamero González, J. M. (2025). Income inequalities in longevity among Spanish retirement pensioners aged 65+: A comprehensive analysis from 2008 to 2021. International Social Security Review, 78(4), 53–78. </w:t>
      </w:r>
      <w:hyperlink r:id="rId34">
        <w:r>
          <w:rPr>
            <w:color w:val="772D3C"/>
            <w:u w:val="single"/>
          </w:rPr>
          <w:t>https://doi.org/10.1111/issr.70014</w:t>
        </w:r>
      </w:hyperlink>
    </w:p>
    <w:p>
      <w:pPr>
        <w:pStyle w:val="Reference"/>
      </w:pPr>
      <w:r>
        <w:t xml:space="preserve">Pérez-Salamero González, J. M., Regúlez Castillo, M., Ventura-Marco, M., &amp; Vidal-Meliá, C. (2022). Mortality and life expectancy trends in Spain by pension income level. International Journal for Equity in Health, 21, 96. </w:t>
      </w:r>
      <w:hyperlink r:id="rId35">
        <w:r>
          <w:rPr>
            <w:color w:val="772D3C"/>
            <w:u w:val="single"/>
          </w:rPr>
          <w:t>https://doi.org/10.1186/s12939-022-01697-2</w:t>
        </w:r>
      </w:hyperlink>
    </w:p>
    <w:p>
      <w:pPr>
        <w:pStyle w:val="Reference"/>
      </w:pPr>
      <w:r>
        <w:t xml:space="preserve">Pérez-Salamero González, J. M., Regúlez Castillo, M., &amp; Vidal-Meliá, C. (2021). Differences in life expectancy between self-employed workers and paid employees. European Journal of Population, 37(3), 697–725. </w:t>
      </w:r>
      <w:hyperlink r:id="rId36">
        <w:r>
          <w:rPr>
            <w:color w:val="772D3C"/>
            <w:u w:val="single"/>
          </w:rPr>
          <w:t>https://doi.org/10.1007/s10680-021-09585-1</w:t>
        </w:r>
      </w:hyperlink>
    </w:p>
    <w:p>
      <w:pPr>
        <w:pStyle w:val="Reference"/>
      </w:pPr>
      <w:r>
        <w:t xml:space="preserve">Castañer-Garriga, A., Pérez-Salamero González, J. M., &amp; Vidal-Meliá, C. (2017). Evaluación de las tarifas de las pensiones de Accidentes de Trabajo y Enfermedades Profesionales (2011–2015). Innovar, 27(66), 153–167. </w:t>
      </w:r>
      <w:hyperlink r:id="rId37">
        <w:r>
          <w:rPr>
            <w:color w:val="772D3C"/>
            <w:u w:val="single"/>
          </w:rPr>
          <w:t>https://doi.org/10.15446/innovar.v27n66.66810</w:t>
        </w:r>
      </w:hyperlink>
    </w:p>
    <w:p>
      <w:pPr>
        <w:pStyle w:val="Heading3"/>
        <w:keepNext/>
      </w:pPr>
      <w:r>
        <w:t>Sublínea d’aspectes tècnics</w:t>
      </w:r>
    </w:p>
    <w:p>
      <w:pPr>
        <w:pStyle w:val="Reference"/>
      </w:pPr>
      <w:r>
        <w:t xml:space="preserve">Núñez-Antón, V., Pérez-Salamero González, J. M., Regúlez-Castillo, M., &amp; Vidal-Meliá, C. (2020). Improving the representativeness of a simple random sample. Mathematics, 8(8), 1225. </w:t>
      </w:r>
      <w:hyperlink r:id="rId38">
        <w:r>
          <w:rPr>
            <w:color w:val="772D3C"/>
            <w:u w:val="single"/>
          </w:rPr>
          <w:t>https://doi.org/10.3390/math8081225</w:t>
        </w:r>
      </w:hyperlink>
    </w:p>
    <w:p>
      <w:pPr>
        <w:pStyle w:val="Reference"/>
      </w:pPr>
      <w:r>
        <w:t xml:space="preserve">Núñez-Antón, V., Pérez-Salamero, J. M., Regúlez-Castillo, M., Ventura-Marco, M., &amp; Vidal-Meliá, C. (2019). Automatic regrouping of strata in the goodness-of-fit chi-square test. SORT, 43(1), 113–142. </w:t>
      </w:r>
      <w:hyperlink r:id="rId39">
        <w:r>
          <w:rPr>
            <w:color w:val="772D3C"/>
            <w:u w:val="single"/>
          </w:rPr>
          <w:t>https://doi.org/10.2436/20.8080.02.83</w:t>
        </w:r>
      </w:hyperlink>
    </w:p>
    <w:p>
      <w:pPr>
        <w:pStyle w:val="Reference"/>
      </w:pPr>
      <w:r>
        <w:t xml:space="preserve">Pérez-Salamero, J. M., Regúlez-Castillo, M., &amp; Vidal-Meliá, C. (2017). The Continuous Sample of Working Lives: Improving its representativeness. SERIEs, 8(1), 43–95. </w:t>
      </w:r>
      <w:hyperlink r:id="rId40">
        <w:r>
          <w:rPr>
            <w:color w:val="772D3C"/>
            <w:u w:val="single"/>
          </w:rPr>
          <w:t>https://doi.org/10.1007/s13209-017-0154-0</w:t>
        </w:r>
      </w:hyperlink>
    </w:p>
    <w:p>
      <w:pPr>
        <w:pStyle w:val="Reference"/>
      </w:pPr>
      <w:r>
        <w:t xml:space="preserve">Pérez-Salamero, J. M., Regúlez-Castillo, M., &amp; Vidal-Meliá, C. (2016). Análisis de la representatividad de la MCVL: El caso de las prestaciones del sistema público de pensiones. Hacienda Pública Española / Review of Public Economics, 217(2), 67–130. </w:t>
      </w:r>
      <w:hyperlink r:id="rId41">
        <w:r>
          <w:rPr>
            <w:color w:val="772D3C"/>
            <w:u w:val="single"/>
          </w:rPr>
          <w:t>https://doi.org/10.7866/HPE-RPE.16.2.3</w:t>
        </w:r>
      </w:hyperlink>
    </w:p>
    <w:p>
      <w:pPr>
        <w:pStyle w:val="Heading2"/>
        <w:keepNext/>
      </w:pPr>
      <w:r>
        <w:t>7. El segur de divorç: Aspectes actuarials, socials i jurídics (des de 2024)</w:t>
      </w:r>
    </w:p>
    <w:p>
      <w:pPr>
        <w:pStyle w:val="BodyText"/>
        <w:spacing w:after="140"/>
      </w:pPr>
      <w:r>
        <w:rPr>
          <w:b/>
        </w:rPr>
        <w:t xml:space="preserve">Breu descripció i objectius: </w:t>
      </w:r>
      <w:r>
        <w:t>Esta llínea investiga la creació d’un nou mercat assegurador per al risc de ruptura matrimonial. Els seus objectius són validar la legalitat del segur de divorç en el Dret de l’Unió Europea i espanyol; segmentar riscs per mig de tècniques d’aprenentage automàtic calibrades per a events rars; i propondre un segur de sumes que mitigue externalitats socials com el risc de pobrea de menors i dònes.</w:t>
      </w:r>
    </w:p>
    <w:p>
      <w:pPr>
        <w:pStyle w:val="BodyText"/>
        <w:spacing w:after="140"/>
      </w:pPr>
      <w:r>
        <w:rPr>
          <w:b/>
        </w:rPr>
        <w:t xml:space="preserve">Investigadors i participació: </w:t>
      </w:r>
      <w:r>
        <w:t>Juan Bataller Grau (3/5) i Carlos Vidal-Meliá (5/5).</w:t>
      </w:r>
    </w:p>
    <w:p>
      <w:pPr>
        <w:pStyle w:val="BodyText"/>
        <w:spacing w:after="100"/>
      </w:pPr>
      <w:r>
        <w:rPr>
          <w:b/>
        </w:rPr>
        <w:t>Publicacions i resultats d’investigació:</w:t>
      </w:r>
    </w:p>
    <w:p>
      <w:pPr>
        <w:pStyle w:val="Heading3"/>
        <w:keepNext/>
      </w:pPr>
      <w:r>
        <w:t>Publicacions</w:t>
      </w:r>
    </w:p>
    <w:p>
      <w:pPr>
        <w:pStyle w:val="Reference"/>
      </w:pPr>
      <w:r>
        <w:t xml:space="preserve">Bataller-Grau, J., &amp; Vidal-Meliá, C. (2026). When fictional imagination meets divorce insurance: Feasibility, safeguards, and family outcomes. Humanities and Social Sciences Communications, 13, Article 1262. </w:t>
      </w:r>
      <w:hyperlink r:id="rId42">
        <w:r>
          <w:rPr>
            <w:color w:val="772D3C"/>
            <w:u w:val="single"/>
          </w:rPr>
          <w:t>https://doi.org/10.1057/s41599-026-07654-6</w:t>
        </w:r>
      </w:hyperlink>
    </w:p>
    <w:p>
      <w:pPr>
        <w:pStyle w:val="Reference"/>
      </w:pPr>
      <w:r>
        <w:t xml:space="preserve">Vidal-Meliá, C. (2026). Divorce insurance: A simulation-based framework for short-term financial protection in marital dissolution. Family Transitions. Advance online publication. </w:t>
      </w:r>
      <w:hyperlink r:id="rId43">
        <w:r>
          <w:rPr>
            <w:color w:val="772D3C"/>
            <w:u w:val="single"/>
          </w:rPr>
          <w:t>https://doi.org/10.1080/28375300.2026.2724728</w:t>
        </w:r>
      </w:hyperlink>
    </w:p>
    <w:p>
      <w:pPr>
        <w:pStyle w:val="Reference"/>
      </w:pPr>
      <w:r>
        <w:t>Bataller Grau, J., &amp; Vidal-Meliá, C. (2026). Lawfulness of divorce insurance in European Union. In P. Marano (Ed.), Research Handbook on EU Insurance Law and Regulation. Edward Elgar. In press.</w:t>
      </w:r>
    </w:p>
    <w:p>
      <w:pPr>
        <w:pStyle w:val="Reference"/>
      </w:pPr>
      <w:r>
        <w:t xml:space="preserve">Bataller Grau, J., &amp; Vidal-Meliá, C. (2025). El seguro de divorcio como seguro de sumas: Una propuesta desde el Derecho español. Revista de Derecho del Sistema Financiero, 10. </w:t>
      </w:r>
      <w:hyperlink r:id="rId44">
        <w:r>
          <w:rPr>
            <w:color w:val="772D3C"/>
            <w:u w:val="single"/>
          </w:rPr>
          <w:t>https://dialnet.unirioja.es/servlet/articulo?codigo=10468587</w:t>
        </w:r>
      </w:hyperlink>
    </w:p>
    <w:p>
      <w:pPr>
        <w:pStyle w:val="Heading3"/>
        <w:keepNext/>
      </w:pPr>
      <w:r>
        <w:t>Treball en curs</w:t>
      </w:r>
    </w:p>
    <w:p>
      <w:pPr>
        <w:pStyle w:val="Reference"/>
      </w:pPr>
      <w:r>
        <w:t>Calibrated ML risk segmentation for divorce insurance: Evidence from 10,000 synthetic couples. Work in progress.</w:t>
      </w:r>
    </w:p>
    <w:p>
      <w:pPr>
        <w:pStyle w:val="Heading1"/>
      </w:pPr>
      <w:r>
        <w:t>LLÍNEES D’INVESTIGACIÓ HISTÒRIQUES</w:t>
      </w:r>
    </w:p>
    <w:p>
      <w:pPr>
        <w:pStyle w:val="Heading2"/>
        <w:keepNext/>
      </w:pPr>
      <w:r>
        <w:t>1. Alternatives individuals d’estalvi-pensió: Plans de pensions (1993–1999)</w:t>
      </w:r>
    </w:p>
    <w:p>
      <w:pPr>
        <w:pStyle w:val="BodyText"/>
        <w:spacing w:after="140"/>
      </w:pPr>
      <w:r>
        <w:rPr>
          <w:b/>
        </w:rPr>
        <w:t xml:space="preserve">Breu descripció i objectius: </w:t>
      </w:r>
      <w:r>
        <w:t>Esta llínea se centrà en el tercer pilar de la protecció social i en les contingències individuals de jubilació. Els seus objectius foren realisar estudis formalisats d’estalvi-pensió, formular propostes fiscals per a atenuar la falta de liquidea dels plans i definir estratègies d’inversió basades en perfils d’ingressos i tipos impositius.</w:t>
      </w:r>
    </w:p>
    <w:p>
      <w:pPr>
        <w:pStyle w:val="BodyText"/>
        <w:spacing w:after="140"/>
      </w:pPr>
      <w:r>
        <w:rPr>
          <w:b/>
        </w:rPr>
        <w:t xml:space="preserve">Investigadors i participació: </w:t>
      </w:r>
      <w:r>
        <w:t>Enrique Devesa Carpio (7/9), María Paz Jordá Durá (2/9), Mar Devesa Carpio (1/9) i Carlos Vidal-Meliá (9/9).</w:t>
      </w:r>
    </w:p>
    <w:p>
      <w:pPr>
        <w:pStyle w:val="BodyText"/>
        <w:spacing w:after="100"/>
      </w:pPr>
      <w:r>
        <w:rPr>
          <w:b/>
        </w:rPr>
        <w:t>Publicacions i resultats d’investigació:</w:t>
      </w:r>
    </w:p>
    <w:p>
      <w:pPr>
        <w:pStyle w:val="Heading3"/>
        <w:keepNext/>
      </w:pPr>
      <w:r>
        <w:t>Publicacions destacades</w:t>
      </w:r>
    </w:p>
    <w:p>
      <w:pPr>
        <w:pStyle w:val="Reference"/>
      </w:pPr>
      <w:r>
        <w:t>Devesa Carpio, J. E., &amp; Vidal-Meliá, C. (1999). Planes de pensiones individuales y sobreimposición. Revista Europea de Dirección y Economía de la Empresa, 8(4), 135–148.</w:t>
      </w:r>
    </w:p>
    <w:p>
      <w:pPr>
        <w:pStyle w:val="Reference"/>
      </w:pPr>
      <w:r>
        <w:t>Devesa, J. E., &amp; Vidal-Meliá, C. (1997). Estrategias individuales de ahorro-pensión y perfiles de ingresos. Revista Española de Financiación y Contabilidad, 26(90), 167–195.</w:t>
      </w:r>
    </w:p>
    <w:p>
      <w:pPr>
        <w:pStyle w:val="Heading2"/>
        <w:keepNext/>
      </w:pPr>
      <w:r>
        <w:t>2. El sistema de contes nocionals i atres aspectes dels sistemes de repartiment (1999–2007)</w:t>
      </w:r>
    </w:p>
    <w:p>
      <w:pPr>
        <w:pStyle w:val="BodyText"/>
        <w:spacing w:after="140"/>
      </w:pPr>
      <w:r>
        <w:rPr>
          <w:b/>
        </w:rPr>
        <w:t xml:space="preserve">Breu descripció i objectius: </w:t>
      </w:r>
      <w:r>
        <w:t>Esta llínea desenrollà el fonament actuarial dels contes nocionals d’aportació definida (NDC), analisà la sostenibilitat dels sistemes de repartiment internacionals, modelisà la transició des de prestació definida cap a NDC i quantificà el risc econòmic subjectiu per als beneficiaris.</w:t>
      </w:r>
    </w:p>
    <w:p>
      <w:pPr>
        <w:pStyle w:val="BodyText"/>
        <w:spacing w:after="140"/>
      </w:pPr>
      <w:r>
        <w:rPr>
          <w:b/>
        </w:rPr>
        <w:t xml:space="preserve">Investigadors i participació: </w:t>
      </w:r>
      <w:r>
        <w:t>Inmaculada Domínguez Fabián (9/12), María del Carmen Boado-Penas (5/12), Enrique Devesa Carpio (4/12), Ana Lejárraga-García (2/12), Salvador Valdés-Prieto (1/12) i Carlos Vidal-Meliá (12/12).</w:t>
      </w:r>
    </w:p>
    <w:p>
      <w:pPr>
        <w:pStyle w:val="BodyText"/>
        <w:spacing w:after="100"/>
      </w:pPr>
      <w:r>
        <w:rPr>
          <w:b/>
        </w:rPr>
        <w:t>Publicacions i resultats d’investigació:</w:t>
      </w:r>
    </w:p>
    <w:p>
      <w:pPr>
        <w:pStyle w:val="Heading3"/>
        <w:keepNext/>
      </w:pPr>
      <w:r>
        <w:t>Publicacions destacades</w:t>
      </w:r>
    </w:p>
    <w:p>
      <w:pPr>
        <w:pStyle w:val="Reference"/>
      </w:pPr>
      <w:r>
        <w:t xml:space="preserve">Vidal-Meliá, C., Domínguez-Fabián, I., &amp; Devesa-Carpio, J. E. (2006). Subjective economic risk to beneficiaries in notional defined contribution accounts (NDCs). Journal of Risk and Insurance, 73(3), 489–515. </w:t>
      </w:r>
      <w:hyperlink r:id="rId45">
        <w:r>
          <w:rPr>
            <w:color w:val="772D3C"/>
            <w:u w:val="single"/>
          </w:rPr>
          <w:t>https://doi.org/10.1111/j.1539-6975.2006.00185.x</w:t>
        </w:r>
      </w:hyperlink>
    </w:p>
    <w:p>
      <w:pPr>
        <w:pStyle w:val="Reference"/>
      </w:pPr>
      <w:r>
        <w:t>Devesa-Carpio, J. E., &amp; Vidal-Meliá, C. (2004). Cuentas nocionales de aportación definida (NDCs): ¿Cuál hubiera sido el efecto de su implantación en España? Moneda y Crédito, 219, 101–142.</w:t>
      </w:r>
    </w:p>
    <w:p>
      <w:pPr>
        <w:pStyle w:val="Heading2"/>
        <w:keepNext/>
      </w:pPr>
      <w:r>
        <w:t>3. Modalitats de pensió en els sistemes de capitalisació (2000–2006)</w:t>
      </w:r>
    </w:p>
    <w:p>
      <w:pPr>
        <w:pStyle w:val="BodyText"/>
        <w:spacing w:after="140"/>
      </w:pPr>
      <w:r>
        <w:rPr>
          <w:b/>
        </w:rPr>
        <w:t xml:space="preserve">Breu descripció i objectius: </w:t>
      </w:r>
      <w:r>
        <w:t>Esta llínea tractà de clarificar l’enigma de les rendes vitalícies per mig de la modelisació del motiu d’herència. També evaluà els costs d’administració en els sistemes de capitalisació individual i la regulació de les modalitats de pensió en Amèrica Llatina.</w:t>
      </w:r>
    </w:p>
    <w:p>
      <w:pPr>
        <w:pStyle w:val="BodyText"/>
        <w:spacing w:after="140"/>
      </w:pPr>
      <w:r>
        <w:rPr>
          <w:b/>
        </w:rPr>
        <w:t xml:space="preserve">Investigadors i participació: </w:t>
      </w:r>
      <w:r>
        <w:t>Enrique Devesa Carpio (5/7), Ana Lejárraga-García (5/7), Rosa Rodríguez Barrera (1/7) i Carlos Vidal-Meliá (7/7).</w:t>
      </w:r>
    </w:p>
    <w:p>
      <w:pPr>
        <w:pStyle w:val="BodyText"/>
        <w:spacing w:after="100"/>
      </w:pPr>
      <w:r>
        <w:rPr>
          <w:b/>
        </w:rPr>
        <w:t>Publicacions i resultats d’investigació:</w:t>
      </w:r>
    </w:p>
    <w:p>
      <w:pPr>
        <w:pStyle w:val="Heading3"/>
        <w:keepNext/>
      </w:pPr>
      <w:r>
        <w:t>Publicacions destacades</w:t>
      </w:r>
    </w:p>
    <w:p>
      <w:pPr>
        <w:pStyle w:val="Reference"/>
      </w:pPr>
      <w:r>
        <w:t xml:space="preserve">Vidal-Meliá, C., &amp; Lejárraga-García, A. (2006). Demand for life annuities from married couples with a bequest motive. Journal of Pension Economics and Finance, 5(2), 197–229. </w:t>
      </w:r>
      <w:hyperlink r:id="rId46">
        <w:r>
          <w:rPr>
            <w:color w:val="772D3C"/>
            <w:u w:val="single"/>
          </w:rPr>
          <w:t>https://doi.org/10.1017/S1474747205002349</w:t>
        </w:r>
      </w:hyperlink>
    </w:p>
    <w:p>
      <w:pPr>
        <w:pStyle w:val="Reference"/>
      </w:pPr>
      <w:r>
        <w:t>Lejárraga-García, A., Vidal-Meliá, C., &amp; Devesa-Carpio, J. E. (2002). Regulación de las modalidades de pensión en los sistemas de capitalización de América Latina. Revista de Análisis Económico, 17(2), 49–94.</w:t>
      </w:r>
    </w:p>
    <w:p>
      <w:pPr>
        <w:pStyle w:val="Heading2"/>
        <w:keepNext/>
      </w:pPr>
      <w:r>
        <w:t>4. Instruments per a millorar el sistema de repartiment (2008–2016)</w:t>
      </w:r>
    </w:p>
    <w:p>
      <w:pPr>
        <w:pStyle w:val="BodyText"/>
        <w:spacing w:after="140"/>
      </w:pPr>
      <w:r>
        <w:rPr>
          <w:b/>
        </w:rPr>
        <w:t xml:space="preserve">Breu descripció i objectius: </w:t>
      </w:r>
      <w:r>
        <w:t>Esta llínea se centrà en les ferramentes de transparència i solvència de les pensions públiques. Els seus objectius foren demostrar l’utilitat dels balanços actuarials com a indicadors de solvència i dissenyar mecanismes automàtics d’equilibri inspirats en el model suec.</w:t>
      </w:r>
    </w:p>
    <w:p>
      <w:pPr>
        <w:pStyle w:val="BodyText"/>
        <w:spacing w:after="140"/>
      </w:pPr>
      <w:r>
        <w:rPr>
          <w:b/>
        </w:rPr>
        <w:t xml:space="preserve">Investigadors i participació: </w:t>
      </w:r>
      <w:r>
        <w:t>María del Carmen Boado-Penas (10/17), Marta Regúlez Castillo (5/17), Ole Settergren (4/17), Manuel García García (2/17), Salvador Valdés-Prieto (1/17), Francisco Navarro-Cabo (1/17) i Carlos Vidal-Meliá (17/17).</w:t>
      </w:r>
    </w:p>
    <w:p>
      <w:pPr>
        <w:pStyle w:val="BodyText"/>
        <w:spacing w:after="100"/>
      </w:pPr>
      <w:r>
        <w:rPr>
          <w:b/>
        </w:rPr>
        <w:t>Publicacions i resultats d’investigació:</w:t>
      </w:r>
    </w:p>
    <w:p>
      <w:pPr>
        <w:pStyle w:val="Heading3"/>
        <w:keepNext/>
      </w:pPr>
      <w:r>
        <w:t>Publicacions destacades</w:t>
      </w:r>
    </w:p>
    <w:p>
      <w:pPr>
        <w:pStyle w:val="Reference"/>
      </w:pPr>
      <w:r>
        <w:t xml:space="preserve">Vidal-Meliá, C., Boado-Penas, M. C., &amp; Settergren, O. (2009). Automatic balance mechanisms in pay-as-you-go pension systems. The Geneva Papers on Risk and Insurance – Issues and Practice, 34(2), 287–317. </w:t>
      </w:r>
      <w:hyperlink r:id="rId47">
        <w:r>
          <w:rPr>
            <w:color w:val="772D3C"/>
            <w:u w:val="single"/>
          </w:rPr>
          <w:t>https://doi.org/10.1057/gpp.2009.2</w:t>
        </w:r>
      </w:hyperlink>
    </w:p>
    <w:p>
      <w:pPr>
        <w:pStyle w:val="Reference"/>
      </w:pPr>
      <w:r>
        <w:t xml:space="preserve">Boado-Penas, M. C., Valdés-Prieto, S., &amp; Vidal-Meliá, C. (2008). An actuarial balance sheet for pay-as-you-go finance: Solvency indicators for Spain and Sweden. Fiscal Studies, 29(1), 89–134. </w:t>
      </w:r>
      <w:hyperlink r:id="rId48">
        <w:r>
          <w:rPr>
            <w:color w:val="772D3C"/>
            <w:u w:val="single"/>
          </w:rPr>
          <w:t>https://doi.org/10.1111/j.1475-5890.2008.00070.x</w:t>
        </w:r>
      </w:hyperlink>
    </w:p>
    <w:sectPr w:rsidR="00FC693F" w:rsidRPr="0006063C" w:rsidSect="00034616">
      <w:headerReference w:type="default" r:id="rId9"/>
      <w:footerReference w:type="default" r:id="rId10"/>
      <w:pgSz w:w="11906" w:h="16838"/>
      <w:pgMar w:top="1191"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966"/>
        <w:sz w:val="16"/>
      </w:rPr>
      <w:t>Universitat de València · Instituto Universitario de Derecho Patrimonial–Patrimonium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46966"/>
        <w:sz w:val="16"/>
      </w:rPr>
      <w:t>Carlos Vidal-Meliá · Líneas de investigación · 12-10-2026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Aptos" w:hAnsi="Aptos"/>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80" w:line="245" w:lineRule="auto"/>
      <w:ind w:left="369" w:hanging="255"/>
    </w:pPr>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80/1331677X.2020.1782246" TargetMode="External"/><Relationship Id="rId12" Type="http://schemas.openxmlformats.org/officeDocument/2006/relationships/hyperlink" Target="https://doi.org/10.1111/issr.12143" TargetMode="External"/><Relationship Id="rId13" Type="http://schemas.openxmlformats.org/officeDocument/2006/relationships/hyperlink" Target="https://doi.org/10.1080/00036846.2015.1093084" TargetMode="External"/><Relationship Id="rId14" Type="http://schemas.openxmlformats.org/officeDocument/2006/relationships/hyperlink" Target="https://doi.org/10.1017/asb.2014.5" TargetMode="External"/><Relationship Id="rId15" Type="http://schemas.openxmlformats.org/officeDocument/2006/relationships/hyperlink" Target="https://doi.org/10.1007/s11135-023-01782-w" TargetMode="External"/><Relationship Id="rId16" Type="http://schemas.openxmlformats.org/officeDocument/2006/relationships/hyperlink" Target="https://doi.org/10.1016/j.insmatheco.2023.08.002" TargetMode="External"/><Relationship Id="rId17" Type="http://schemas.openxmlformats.org/officeDocument/2006/relationships/hyperlink" Target="https://doi.org/10.1017/S1474747218000070" TargetMode="External"/><Relationship Id="rId18" Type="http://schemas.openxmlformats.org/officeDocument/2006/relationships/hyperlink" Target="https://doi.org/10.1007/s12062-018-9229-3" TargetMode="External"/><Relationship Id="rId19" Type="http://schemas.openxmlformats.org/officeDocument/2006/relationships/hyperlink" Target="https://doi.org/10.3390/su10082832" TargetMode="External"/><Relationship Id="rId20" Type="http://schemas.openxmlformats.org/officeDocument/2006/relationships/hyperlink" Target="https://doi.org/10.1080/03461238.2016.1258370" TargetMode="External"/><Relationship Id="rId21" Type="http://schemas.openxmlformats.org/officeDocument/2006/relationships/hyperlink" Target="https://doi.org/10.1017/asb.2015.27" TargetMode="External"/><Relationship Id="rId22" Type="http://schemas.openxmlformats.org/officeDocument/2006/relationships/hyperlink" Target="https://documentos.fedea.net/pubs/eee/2026/eee2026-25.pdf" TargetMode="External"/><Relationship Id="rId23" Type="http://schemas.openxmlformats.org/officeDocument/2006/relationships/hyperlink" Target="https://documentos.fedea.net/pubs/eee/2026/eee2026-29.pdf" TargetMode="External"/><Relationship Id="rId24" Type="http://schemas.openxmlformats.org/officeDocument/2006/relationships/hyperlink" Target="https://doi.org/10.3390/jrfm18090528" TargetMode="External"/><Relationship Id="rId25" Type="http://schemas.openxmlformats.org/officeDocument/2006/relationships/hyperlink" Target="https://doi.org/10.1080/09540962.2022.2144362" TargetMode="External"/><Relationship Id="rId26" Type="http://schemas.openxmlformats.org/officeDocument/2006/relationships/hyperlink" Target="https://doi.org/10.1007/978-3-030-99638-3_46" TargetMode="External"/><Relationship Id="rId27" Type="http://schemas.openxmlformats.org/officeDocument/2006/relationships/hyperlink" Target="https://doi.org/10.1007/978-3-030-78965-7_34" TargetMode="External"/><Relationship Id="rId28" Type="http://schemas.openxmlformats.org/officeDocument/2006/relationships/hyperlink" Target="https://doi.org/10.1080/17487870.2015.1028547" TargetMode="External"/><Relationship Id="rId29" Type="http://schemas.openxmlformats.org/officeDocument/2006/relationships/hyperlink" Target="https://doi.org/10.1080/13504851.2013.851767" TargetMode="External"/><Relationship Id="rId30" Type="http://schemas.openxmlformats.org/officeDocument/2006/relationships/hyperlink" Target="https://doi.org/10.1017/S1474747213000383" TargetMode="External"/><Relationship Id="rId31" Type="http://schemas.openxmlformats.org/officeDocument/2006/relationships/hyperlink" Target="https://doi.org/10.1080/00036846.2011.615733" TargetMode="External"/><Relationship Id="rId32" Type="http://schemas.openxmlformats.org/officeDocument/2006/relationships/hyperlink" Target="https://doi.org/10.1111/j.1468-246X.2012.001426.x" TargetMode="External"/><Relationship Id="rId33" Type="http://schemas.openxmlformats.org/officeDocument/2006/relationships/hyperlink" Target="https://doi.org/10.1596/978-0-8213-9478-6" TargetMode="External"/><Relationship Id="rId34" Type="http://schemas.openxmlformats.org/officeDocument/2006/relationships/hyperlink" Target="https://doi.org/10.1111/issr.70014" TargetMode="External"/><Relationship Id="rId35" Type="http://schemas.openxmlformats.org/officeDocument/2006/relationships/hyperlink" Target="https://doi.org/10.1186/s12939-022-01697-2" TargetMode="External"/><Relationship Id="rId36" Type="http://schemas.openxmlformats.org/officeDocument/2006/relationships/hyperlink" Target="https://doi.org/10.1007/s10680-021-09585-1" TargetMode="External"/><Relationship Id="rId37" Type="http://schemas.openxmlformats.org/officeDocument/2006/relationships/hyperlink" Target="https://doi.org/10.15446/innovar.v27n66.66810" TargetMode="External"/><Relationship Id="rId38" Type="http://schemas.openxmlformats.org/officeDocument/2006/relationships/hyperlink" Target="https://doi.org/10.3390/math8081225" TargetMode="External"/><Relationship Id="rId39" Type="http://schemas.openxmlformats.org/officeDocument/2006/relationships/hyperlink" Target="https://doi.org/10.2436/20.8080.02.83" TargetMode="External"/><Relationship Id="rId40" Type="http://schemas.openxmlformats.org/officeDocument/2006/relationships/hyperlink" Target="https://doi.org/10.1007/s13209-017-0154-0" TargetMode="External"/><Relationship Id="rId41" Type="http://schemas.openxmlformats.org/officeDocument/2006/relationships/hyperlink" Target="https://doi.org/10.7866/HPE-RPE.16.2.3" TargetMode="External"/><Relationship Id="rId42" Type="http://schemas.openxmlformats.org/officeDocument/2006/relationships/hyperlink" Target="https://doi.org/10.1057/s41599-026-07654-6" TargetMode="External"/><Relationship Id="rId43" Type="http://schemas.openxmlformats.org/officeDocument/2006/relationships/hyperlink" Target="https://doi.org/10.1080/28375300.2026.2724728" TargetMode="External"/><Relationship Id="rId44" Type="http://schemas.openxmlformats.org/officeDocument/2006/relationships/hyperlink" Target="https://dialnet.unirioja.es/servlet/articulo?codigo=10468587" TargetMode="External"/><Relationship Id="rId45" Type="http://schemas.openxmlformats.org/officeDocument/2006/relationships/hyperlink" Target="https://doi.org/10.1111/j.1539-6975.2006.00185.x" TargetMode="External"/><Relationship Id="rId46" Type="http://schemas.openxmlformats.org/officeDocument/2006/relationships/hyperlink" Target="https://doi.org/10.1017/S1474747205002349" TargetMode="External"/><Relationship Id="rId47" Type="http://schemas.openxmlformats.org/officeDocument/2006/relationships/hyperlink" Target="https://doi.org/10.1057/gpp.2009.2" TargetMode="External"/><Relationship Id="rId48" Type="http://schemas.openxmlformats.org/officeDocument/2006/relationships/hyperlink" Target="https://doi.org/10.1111/j.1475-5890.2008.0007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